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5E033B" w14:textId="4AA06197" w:rsidR="00DD6B5E" w:rsidRDefault="003129E8" w:rsidP="00DD6B5E">
      <w:pPr>
        <w:jc w:val="right"/>
        <w:rPr>
          <w:rFonts w:ascii="Arial" w:hAnsi="Arial" w:cs="Arial"/>
          <w:b/>
          <w:color w:val="FF0000"/>
          <w:sz w:val="48"/>
          <w:szCs w:val="48"/>
        </w:rPr>
      </w:pPr>
      <w:bookmarkStart w:id="0" w:name="_Toc153189646"/>
      <w:r w:rsidRPr="002E0043">
        <w:rPr>
          <w:rFonts w:ascii="Arial" w:hAnsi="Arial" w:cs="Arial"/>
          <w:b/>
          <w:sz w:val="48"/>
          <w:szCs w:val="48"/>
        </w:rPr>
        <w:t>Work</w:t>
      </w:r>
      <w:r w:rsidR="00096D2D">
        <w:rPr>
          <w:rFonts w:ascii="Arial" w:hAnsi="Arial" w:cs="Arial"/>
          <w:b/>
          <w:sz w:val="48"/>
          <w:szCs w:val="48"/>
        </w:rPr>
        <w:t>p</w:t>
      </w:r>
      <w:r w:rsidRPr="002E0043">
        <w:rPr>
          <w:rFonts w:ascii="Arial" w:hAnsi="Arial" w:cs="Arial"/>
          <w:b/>
          <w:sz w:val="48"/>
          <w:szCs w:val="48"/>
        </w:rPr>
        <w:t xml:space="preserve">aper </w:t>
      </w:r>
      <w:bookmarkEnd w:id="0"/>
      <w:r w:rsidR="00480C7E" w:rsidRPr="004203DD">
        <w:rPr>
          <w:rFonts w:ascii="Arial" w:hAnsi="Arial" w:cs="Arial"/>
          <w:b/>
          <w:sz w:val="48"/>
          <w:szCs w:val="48"/>
        </w:rPr>
        <w:t>PGE</w:t>
      </w:r>
      <w:r w:rsidR="003F2817" w:rsidRPr="004203DD">
        <w:rPr>
          <w:rFonts w:ascii="Arial" w:hAnsi="Arial" w:cs="Arial"/>
          <w:b/>
          <w:sz w:val="48"/>
          <w:szCs w:val="48"/>
        </w:rPr>
        <w:t>COLTG</w:t>
      </w:r>
      <w:r w:rsidR="00F522A8">
        <w:rPr>
          <w:rFonts w:ascii="Arial" w:hAnsi="Arial" w:cs="Arial"/>
          <w:b/>
          <w:sz w:val="48"/>
          <w:szCs w:val="48"/>
        </w:rPr>
        <w:t>178</w:t>
      </w:r>
    </w:p>
    <w:p w14:paraId="59AEC38D" w14:textId="77777777" w:rsidR="00A167EC" w:rsidRPr="004464AA" w:rsidRDefault="00F10A99" w:rsidP="00A167EC">
      <w:pPr>
        <w:jc w:val="right"/>
        <w:rPr>
          <w:rFonts w:ascii="Arial" w:hAnsi="Arial" w:cs="Arial"/>
          <w:b/>
          <w:sz w:val="48"/>
          <w:szCs w:val="48"/>
        </w:rPr>
      </w:pPr>
      <w:r>
        <w:rPr>
          <w:rFonts w:ascii="Arial" w:hAnsi="Arial" w:cs="Arial"/>
          <w:b/>
          <w:color w:val="FF0000"/>
          <w:sz w:val="48"/>
          <w:szCs w:val="48"/>
        </w:rPr>
        <w:t xml:space="preserve"> </w:t>
      </w:r>
      <w:r w:rsidR="004464AA" w:rsidRPr="004464AA">
        <w:rPr>
          <w:rFonts w:ascii="Arial" w:hAnsi="Arial" w:cs="Arial"/>
          <w:b/>
          <w:sz w:val="48"/>
          <w:szCs w:val="48"/>
        </w:rPr>
        <w:t xml:space="preserve">LED </w:t>
      </w:r>
      <w:r w:rsidR="006953C6">
        <w:rPr>
          <w:rFonts w:ascii="Arial" w:hAnsi="Arial" w:cs="Arial"/>
          <w:b/>
          <w:sz w:val="48"/>
          <w:szCs w:val="48"/>
        </w:rPr>
        <w:t>High-Bay and Low-Bay Fixtures</w:t>
      </w:r>
    </w:p>
    <w:p w14:paraId="2090DF40" w14:textId="58818E7F" w:rsidR="003129E8" w:rsidRPr="004464AA" w:rsidRDefault="003129E8" w:rsidP="002E0043">
      <w:pPr>
        <w:jc w:val="right"/>
        <w:rPr>
          <w:rFonts w:ascii="Arial" w:hAnsi="Arial" w:cs="Arial"/>
          <w:b/>
          <w:sz w:val="48"/>
          <w:szCs w:val="48"/>
        </w:rPr>
      </w:pPr>
      <w:bookmarkStart w:id="1" w:name="_Toc153189647"/>
      <w:r w:rsidRPr="004464AA">
        <w:rPr>
          <w:rFonts w:ascii="Arial" w:hAnsi="Arial" w:cs="Arial"/>
          <w:b/>
          <w:sz w:val="48"/>
          <w:szCs w:val="48"/>
        </w:rPr>
        <w:t xml:space="preserve">Revision </w:t>
      </w:r>
      <w:bookmarkEnd w:id="1"/>
      <w:r w:rsidR="00A24216">
        <w:rPr>
          <w:rFonts w:ascii="Arial" w:hAnsi="Arial" w:cs="Arial"/>
          <w:b/>
          <w:sz w:val="48"/>
          <w:szCs w:val="48"/>
        </w:rPr>
        <w:t>4</w:t>
      </w:r>
    </w:p>
    <w:p w14:paraId="70D16AB8" w14:textId="77777777" w:rsidR="003129E8" w:rsidRDefault="00B67AB6" w:rsidP="00B67AB6">
      <w:pPr>
        <w:tabs>
          <w:tab w:val="left" w:pos="5835"/>
        </w:tabs>
      </w:pPr>
      <w:r>
        <w:tab/>
      </w:r>
    </w:p>
    <w:p w14:paraId="2CF81832" w14:textId="77777777" w:rsidR="00D7047A" w:rsidRPr="002E0043" w:rsidRDefault="00DD6B5E" w:rsidP="005A440E">
      <w:pPr>
        <w:pBdr>
          <w:bottom w:val="single" w:sz="4" w:space="0" w:color="auto"/>
        </w:pBdr>
        <w:rPr>
          <w:rFonts w:ascii="Arial" w:hAnsi="Arial" w:cs="Arial"/>
          <w:b/>
          <w:sz w:val="36"/>
          <w:szCs w:val="36"/>
        </w:rPr>
      </w:pPr>
      <w:r>
        <w:rPr>
          <w:rFonts w:ascii="Arial" w:hAnsi="Arial" w:cs="Arial"/>
          <w:b/>
          <w:sz w:val="36"/>
          <w:szCs w:val="36"/>
        </w:rPr>
        <w:t>Pacific Gas &amp; Electric</w:t>
      </w:r>
      <w:r w:rsidR="00DF21B8">
        <w:rPr>
          <w:rFonts w:ascii="Arial" w:hAnsi="Arial" w:cs="Arial"/>
          <w:b/>
          <w:sz w:val="36"/>
          <w:szCs w:val="36"/>
        </w:rPr>
        <w:t xml:space="preserve"> Company</w:t>
      </w:r>
    </w:p>
    <w:p w14:paraId="44C4F9AD" w14:textId="77777777" w:rsidR="00D7047A" w:rsidRPr="002E0043" w:rsidRDefault="00661864" w:rsidP="00D7047A">
      <w:pPr>
        <w:rPr>
          <w:rFonts w:ascii="Arial" w:hAnsi="Arial" w:cs="Arial"/>
          <w:b/>
          <w:sz w:val="32"/>
          <w:szCs w:val="32"/>
        </w:rPr>
      </w:pPr>
      <w:r>
        <w:rPr>
          <w:rFonts w:ascii="Arial" w:hAnsi="Arial" w:cs="Arial"/>
          <w:b/>
          <w:sz w:val="32"/>
          <w:szCs w:val="32"/>
        </w:rPr>
        <w:t xml:space="preserve">Customer Energy Solutions </w:t>
      </w:r>
    </w:p>
    <w:p w14:paraId="53AB2E93" w14:textId="77777777" w:rsidR="004D0E10" w:rsidRDefault="004D0E10" w:rsidP="00A167EC">
      <w:pPr>
        <w:ind w:right="-720"/>
        <w:rPr>
          <w:rFonts w:ascii="Arial" w:hAnsi="Arial" w:cs="Arial"/>
          <w:b/>
          <w:sz w:val="72"/>
          <w:szCs w:val="72"/>
        </w:rPr>
      </w:pPr>
    </w:p>
    <w:p w14:paraId="6926973D" w14:textId="77777777" w:rsidR="004D0E10" w:rsidRDefault="004D0E10" w:rsidP="00A167EC">
      <w:pPr>
        <w:ind w:right="-720"/>
        <w:rPr>
          <w:rFonts w:ascii="Arial" w:hAnsi="Arial" w:cs="Arial"/>
          <w:b/>
          <w:sz w:val="72"/>
          <w:szCs w:val="72"/>
        </w:rPr>
      </w:pPr>
    </w:p>
    <w:p w14:paraId="0884F733" w14:textId="77777777" w:rsidR="004D0E10" w:rsidRDefault="004D0E10" w:rsidP="00A167EC">
      <w:pPr>
        <w:ind w:right="-720"/>
        <w:rPr>
          <w:rFonts w:ascii="Arial" w:hAnsi="Arial" w:cs="Arial"/>
          <w:b/>
          <w:sz w:val="72"/>
          <w:szCs w:val="72"/>
        </w:rPr>
      </w:pPr>
    </w:p>
    <w:p w14:paraId="700C128D" w14:textId="77777777" w:rsidR="00324D0F" w:rsidRDefault="004464AA" w:rsidP="00A167EC">
      <w:pPr>
        <w:ind w:right="-720"/>
        <w:rPr>
          <w:rFonts w:ascii="Arial" w:hAnsi="Arial" w:cs="Arial"/>
          <w:b/>
        </w:rPr>
      </w:pPr>
      <w:r w:rsidRPr="004464AA">
        <w:rPr>
          <w:rFonts w:ascii="Arial" w:hAnsi="Arial" w:cs="Arial"/>
          <w:b/>
          <w:sz w:val="72"/>
          <w:szCs w:val="72"/>
        </w:rPr>
        <w:t xml:space="preserve">LED </w:t>
      </w:r>
      <w:r w:rsidR="008D3D2D">
        <w:rPr>
          <w:rFonts w:ascii="Arial" w:hAnsi="Arial" w:cs="Arial"/>
          <w:b/>
          <w:sz w:val="72"/>
          <w:szCs w:val="72"/>
        </w:rPr>
        <w:t>High-Bay and Low-Bay Fixtures</w:t>
      </w:r>
      <w:r w:rsidR="00735CB1">
        <w:rPr>
          <w:rFonts w:ascii="Arial" w:hAnsi="Arial" w:cs="Arial"/>
          <w:b/>
          <w:sz w:val="72"/>
          <w:szCs w:val="72"/>
        </w:rPr>
        <w:t xml:space="preserve"> </w:t>
      </w:r>
    </w:p>
    <w:p w14:paraId="1A309FD0" w14:textId="105B2A86" w:rsidR="00CB3583" w:rsidRPr="001F32D3" w:rsidRDefault="00A167EC" w:rsidP="008D3D2D">
      <w:pPr>
        <w:ind w:right="-720"/>
        <w:rPr>
          <w:rFonts w:ascii="Arial" w:hAnsi="Arial" w:cs="Arial"/>
          <w:b/>
          <w:color w:val="FF0000"/>
        </w:rPr>
      </w:pPr>
      <w:r w:rsidRPr="00CB3583">
        <w:rPr>
          <w:rFonts w:ascii="Arial" w:hAnsi="Arial" w:cs="Arial"/>
          <w:b/>
        </w:rPr>
        <w:t>Measure Code</w:t>
      </w:r>
      <w:r w:rsidRPr="00E35C1C">
        <w:rPr>
          <w:rFonts w:ascii="Arial" w:hAnsi="Arial" w:cs="Arial"/>
          <w:b/>
          <w:color w:val="000000"/>
        </w:rPr>
        <w:t>s</w:t>
      </w:r>
      <w:r w:rsidR="00AD1173" w:rsidRPr="00E35C1C">
        <w:rPr>
          <w:rFonts w:ascii="Arial" w:hAnsi="Arial" w:cs="Arial"/>
          <w:b/>
          <w:color w:val="000000"/>
        </w:rPr>
        <w:t xml:space="preserve">: </w:t>
      </w:r>
      <w:r w:rsidR="001F32D3" w:rsidRPr="005C6CB5">
        <w:rPr>
          <w:rFonts w:ascii="Arial" w:hAnsi="Arial" w:cs="Arial"/>
          <w:b/>
          <w:color w:val="000000"/>
        </w:rPr>
        <w:t>LT</w:t>
      </w:r>
      <w:r w:rsidR="004F2AC9" w:rsidRPr="005C6CB5">
        <w:rPr>
          <w:rFonts w:ascii="Arial" w:hAnsi="Arial" w:cs="Arial"/>
          <w:b/>
          <w:color w:val="000000"/>
        </w:rPr>
        <w:t>514</w:t>
      </w:r>
      <w:r w:rsidR="00FF3835" w:rsidRPr="005C6CB5">
        <w:rPr>
          <w:rFonts w:ascii="Arial" w:hAnsi="Arial" w:cs="Arial"/>
          <w:b/>
          <w:color w:val="000000"/>
        </w:rPr>
        <w:t xml:space="preserve"> – LT</w:t>
      </w:r>
      <w:r w:rsidR="004F2AC9" w:rsidRPr="005C6CB5">
        <w:rPr>
          <w:rFonts w:ascii="Arial" w:hAnsi="Arial" w:cs="Arial"/>
          <w:b/>
          <w:color w:val="000000"/>
        </w:rPr>
        <w:t>537</w:t>
      </w:r>
    </w:p>
    <w:p w14:paraId="566FBA50" w14:textId="77777777" w:rsidR="00E71EF1" w:rsidRDefault="00C93E64" w:rsidP="00E71EF1">
      <w:pPr>
        <w:pStyle w:val="Heading1"/>
      </w:pPr>
      <w:r>
        <w:br w:type="page"/>
      </w:r>
      <w:bookmarkStart w:id="2" w:name="_Toc511038021"/>
      <w:bookmarkStart w:id="3" w:name="_Toc2804894"/>
      <w:r w:rsidR="00E731C6">
        <w:lastRenderedPageBreak/>
        <w:t>At-</w:t>
      </w:r>
      <w:r w:rsidR="00E71EF1">
        <w:t>a</w:t>
      </w:r>
      <w:r w:rsidR="00E731C6">
        <w:t>-</w:t>
      </w:r>
      <w:r w:rsidR="00E71EF1">
        <w:t>Glance Summary</w:t>
      </w:r>
      <w:bookmarkEnd w:id="2"/>
      <w:bookmarkEnd w:id="3"/>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6300"/>
      </w:tblGrid>
      <w:tr w:rsidR="008D3D2D" w:rsidRPr="00E0642C" w14:paraId="6FC6B77D" w14:textId="77777777" w:rsidTr="00873B7F">
        <w:trPr>
          <w:trHeight w:val="465"/>
        </w:trPr>
        <w:tc>
          <w:tcPr>
            <w:tcW w:w="3348" w:type="dxa"/>
            <w:shd w:val="clear" w:color="auto" w:fill="FFFFFF"/>
          </w:tcPr>
          <w:p w14:paraId="174B8168" w14:textId="77777777" w:rsidR="008D3D2D" w:rsidRPr="00E0642C" w:rsidRDefault="008D3D2D" w:rsidP="0028709C">
            <w:pPr>
              <w:rPr>
                <w:rFonts w:ascii="Arial" w:hAnsi="Arial" w:cs="Arial"/>
                <w:b/>
                <w:bCs/>
                <w:sz w:val="20"/>
                <w:szCs w:val="20"/>
              </w:rPr>
            </w:pPr>
            <w:r w:rsidRPr="00E0642C">
              <w:rPr>
                <w:rFonts w:ascii="Arial" w:hAnsi="Arial" w:cs="Arial"/>
                <w:b/>
                <w:bCs/>
                <w:sz w:val="20"/>
                <w:szCs w:val="20"/>
              </w:rPr>
              <w:t>Applicable Measure Codes:</w:t>
            </w:r>
          </w:p>
        </w:tc>
        <w:tc>
          <w:tcPr>
            <w:tcW w:w="6300" w:type="dxa"/>
            <w:shd w:val="clear" w:color="auto" w:fill="FFFFFF"/>
          </w:tcPr>
          <w:p w14:paraId="46B02D4D" w14:textId="55FFD2F3" w:rsidR="006256F8" w:rsidRPr="00873B7F" w:rsidRDefault="00643F1E" w:rsidP="00EB4927">
            <w:pPr>
              <w:rPr>
                <w:rFonts w:ascii="Arial" w:hAnsi="Arial" w:cs="Arial"/>
                <w:bCs/>
                <w:sz w:val="20"/>
                <w:szCs w:val="20"/>
              </w:rPr>
            </w:pPr>
            <w:r w:rsidRPr="00873B7F">
              <w:rPr>
                <w:rFonts w:ascii="Arial" w:hAnsi="Arial" w:cs="Arial"/>
                <w:bCs/>
                <w:sz w:val="20"/>
                <w:szCs w:val="20"/>
              </w:rPr>
              <w:t>LT</w:t>
            </w:r>
            <w:r w:rsidR="004F2AC9" w:rsidRPr="00873B7F">
              <w:rPr>
                <w:rFonts w:ascii="Arial" w:hAnsi="Arial" w:cs="Arial"/>
                <w:bCs/>
                <w:sz w:val="20"/>
                <w:szCs w:val="20"/>
              </w:rPr>
              <w:t>514 – LT5</w:t>
            </w:r>
            <w:r w:rsidRPr="00873B7F">
              <w:rPr>
                <w:rFonts w:ascii="Arial" w:hAnsi="Arial" w:cs="Arial"/>
                <w:bCs/>
                <w:sz w:val="20"/>
                <w:szCs w:val="20"/>
              </w:rPr>
              <w:t>3</w:t>
            </w:r>
            <w:r w:rsidR="001F32D3" w:rsidRPr="00873B7F">
              <w:rPr>
                <w:rFonts w:ascii="Arial" w:hAnsi="Arial" w:cs="Arial"/>
                <w:bCs/>
                <w:sz w:val="20"/>
                <w:szCs w:val="20"/>
              </w:rPr>
              <w:t>7</w:t>
            </w:r>
          </w:p>
        </w:tc>
      </w:tr>
      <w:tr w:rsidR="008D3D2D" w:rsidRPr="00E0642C" w14:paraId="3DDA0D23" w14:textId="77777777" w:rsidTr="00873B7F">
        <w:trPr>
          <w:trHeight w:val="465"/>
        </w:trPr>
        <w:tc>
          <w:tcPr>
            <w:tcW w:w="3348" w:type="dxa"/>
            <w:shd w:val="clear" w:color="auto" w:fill="FFFFFF"/>
          </w:tcPr>
          <w:p w14:paraId="357A326B" w14:textId="77777777" w:rsidR="008D3D2D" w:rsidRPr="00E0642C" w:rsidRDefault="008D3D2D" w:rsidP="0028709C">
            <w:pPr>
              <w:rPr>
                <w:rFonts w:ascii="Arial" w:hAnsi="Arial" w:cs="Arial"/>
                <w:b/>
                <w:sz w:val="20"/>
                <w:szCs w:val="20"/>
              </w:rPr>
            </w:pPr>
            <w:r w:rsidRPr="00E0642C">
              <w:rPr>
                <w:rFonts w:ascii="Arial" w:hAnsi="Arial" w:cs="Arial"/>
                <w:b/>
                <w:sz w:val="20"/>
                <w:szCs w:val="20"/>
              </w:rPr>
              <w:t xml:space="preserve">Measure Description: </w:t>
            </w:r>
          </w:p>
        </w:tc>
        <w:tc>
          <w:tcPr>
            <w:tcW w:w="6300" w:type="dxa"/>
            <w:shd w:val="clear" w:color="auto" w:fill="FFFFFF"/>
          </w:tcPr>
          <w:p w14:paraId="73F027DC" w14:textId="77777777" w:rsidR="008D3D2D" w:rsidRPr="00873B7F" w:rsidRDefault="008D3D2D" w:rsidP="008D3D2D">
            <w:pPr>
              <w:rPr>
                <w:rFonts w:ascii="Arial" w:hAnsi="Arial" w:cs="Arial"/>
                <w:bCs/>
                <w:sz w:val="20"/>
                <w:szCs w:val="20"/>
              </w:rPr>
            </w:pPr>
            <w:r w:rsidRPr="00873B7F">
              <w:rPr>
                <w:rFonts w:ascii="Arial" w:hAnsi="Arial" w:cs="Arial"/>
                <w:bCs/>
                <w:sz w:val="20"/>
                <w:szCs w:val="20"/>
              </w:rPr>
              <w:t>LED High-Bay and Low-Bay Fixtures, various wattages</w:t>
            </w:r>
          </w:p>
          <w:p w14:paraId="0F0A8B49" w14:textId="16126AB2" w:rsidR="00F44B64" w:rsidRPr="00873B7F" w:rsidRDefault="00F44B64" w:rsidP="008D3D2D">
            <w:pPr>
              <w:rPr>
                <w:rFonts w:ascii="Arial" w:hAnsi="Arial" w:cs="Arial"/>
                <w:bCs/>
                <w:sz w:val="20"/>
                <w:szCs w:val="20"/>
              </w:rPr>
            </w:pPr>
            <w:r w:rsidRPr="00873B7F">
              <w:rPr>
                <w:rFonts w:ascii="Arial" w:hAnsi="Arial" w:cs="Arial"/>
                <w:bCs/>
                <w:sz w:val="20"/>
                <w:szCs w:val="20"/>
              </w:rPr>
              <w:t xml:space="preserve">Tier 1:  </w:t>
            </w:r>
            <w:r w:rsidR="004F2AC9" w:rsidRPr="00873B7F">
              <w:rPr>
                <w:rFonts w:ascii="Arial" w:hAnsi="Arial" w:cs="Arial"/>
                <w:bCs/>
                <w:sz w:val="20"/>
                <w:szCs w:val="20"/>
              </w:rPr>
              <w:t xml:space="preserve">Minimum </w:t>
            </w:r>
            <w:r w:rsidR="00637D30" w:rsidRPr="00873B7F">
              <w:rPr>
                <w:rFonts w:ascii="Arial" w:hAnsi="Arial" w:cs="Arial"/>
                <w:bCs/>
                <w:sz w:val="20"/>
                <w:szCs w:val="20"/>
              </w:rPr>
              <w:t>Efficacy</w:t>
            </w:r>
            <w:r w:rsidRPr="00873B7F">
              <w:rPr>
                <w:rFonts w:ascii="Arial" w:hAnsi="Arial" w:cs="Arial"/>
                <w:bCs/>
                <w:sz w:val="20"/>
                <w:szCs w:val="20"/>
              </w:rPr>
              <w:t xml:space="preserve"> of 1</w:t>
            </w:r>
            <w:r w:rsidR="00637D30" w:rsidRPr="00873B7F">
              <w:rPr>
                <w:rFonts w:ascii="Arial" w:hAnsi="Arial" w:cs="Arial"/>
                <w:bCs/>
                <w:sz w:val="20"/>
                <w:szCs w:val="20"/>
              </w:rPr>
              <w:t>1</w:t>
            </w:r>
            <w:r w:rsidR="00941175" w:rsidRPr="00873B7F">
              <w:rPr>
                <w:rFonts w:ascii="Arial" w:hAnsi="Arial" w:cs="Arial"/>
                <w:bCs/>
                <w:sz w:val="20"/>
                <w:szCs w:val="20"/>
              </w:rPr>
              <w:t>0 - 125</w:t>
            </w:r>
            <w:r w:rsidRPr="00873B7F">
              <w:rPr>
                <w:rFonts w:ascii="Arial" w:hAnsi="Arial" w:cs="Arial"/>
                <w:bCs/>
                <w:sz w:val="20"/>
                <w:szCs w:val="20"/>
              </w:rPr>
              <w:t xml:space="preserve"> lumens per watt</w:t>
            </w:r>
          </w:p>
          <w:p w14:paraId="2BECFE07" w14:textId="278F78E0" w:rsidR="00F44B64" w:rsidRPr="00873B7F" w:rsidRDefault="00F44B64" w:rsidP="008D3D2D">
            <w:pPr>
              <w:rPr>
                <w:rFonts w:ascii="Arial" w:hAnsi="Arial" w:cs="Arial"/>
                <w:bCs/>
                <w:sz w:val="20"/>
                <w:szCs w:val="20"/>
              </w:rPr>
            </w:pPr>
            <w:r w:rsidRPr="00873B7F">
              <w:rPr>
                <w:rFonts w:ascii="Arial" w:hAnsi="Arial" w:cs="Arial"/>
                <w:bCs/>
                <w:sz w:val="20"/>
                <w:szCs w:val="20"/>
              </w:rPr>
              <w:t xml:space="preserve">Tier 2:  </w:t>
            </w:r>
            <w:r w:rsidR="004F2AC9" w:rsidRPr="00873B7F">
              <w:rPr>
                <w:rFonts w:ascii="Arial" w:hAnsi="Arial" w:cs="Arial"/>
                <w:bCs/>
                <w:sz w:val="20"/>
                <w:szCs w:val="20"/>
              </w:rPr>
              <w:t xml:space="preserve">Minimum </w:t>
            </w:r>
            <w:r w:rsidR="00437479" w:rsidRPr="00873B7F">
              <w:rPr>
                <w:rFonts w:ascii="Arial" w:hAnsi="Arial" w:cs="Arial"/>
                <w:bCs/>
                <w:sz w:val="20"/>
                <w:szCs w:val="20"/>
              </w:rPr>
              <w:t>Efficacy</w:t>
            </w:r>
            <w:r w:rsidRPr="00873B7F">
              <w:rPr>
                <w:rFonts w:ascii="Arial" w:hAnsi="Arial" w:cs="Arial"/>
                <w:bCs/>
                <w:sz w:val="20"/>
                <w:szCs w:val="20"/>
              </w:rPr>
              <w:t xml:space="preserve"> of 130</w:t>
            </w:r>
            <w:r w:rsidR="00941175" w:rsidRPr="00873B7F">
              <w:rPr>
                <w:rFonts w:ascii="Arial" w:hAnsi="Arial" w:cs="Arial"/>
                <w:bCs/>
                <w:sz w:val="20"/>
                <w:szCs w:val="20"/>
              </w:rPr>
              <w:t xml:space="preserve"> - 135</w:t>
            </w:r>
            <w:r w:rsidRPr="00873B7F">
              <w:rPr>
                <w:rFonts w:ascii="Arial" w:hAnsi="Arial" w:cs="Arial"/>
                <w:bCs/>
                <w:sz w:val="20"/>
                <w:szCs w:val="20"/>
              </w:rPr>
              <w:t xml:space="preserve"> lumens per watt</w:t>
            </w:r>
          </w:p>
        </w:tc>
      </w:tr>
      <w:tr w:rsidR="00735CF0" w:rsidRPr="00E0642C" w14:paraId="4B9404F6" w14:textId="77777777" w:rsidTr="00873B7F">
        <w:trPr>
          <w:trHeight w:val="465"/>
        </w:trPr>
        <w:tc>
          <w:tcPr>
            <w:tcW w:w="3348" w:type="dxa"/>
            <w:shd w:val="clear" w:color="auto" w:fill="FFFFFF"/>
          </w:tcPr>
          <w:p w14:paraId="7136D333" w14:textId="77777777" w:rsidR="00735CF0" w:rsidRPr="00E0642C" w:rsidRDefault="00735CF0" w:rsidP="0028709C">
            <w:pPr>
              <w:rPr>
                <w:rFonts w:ascii="Arial" w:hAnsi="Arial" w:cs="Arial"/>
                <w:b/>
                <w:sz w:val="20"/>
                <w:szCs w:val="20"/>
              </w:rPr>
            </w:pPr>
            <w:r w:rsidRPr="00E0642C">
              <w:rPr>
                <w:rFonts w:ascii="Arial" w:hAnsi="Arial" w:cs="Arial"/>
                <w:b/>
                <w:sz w:val="20"/>
                <w:szCs w:val="20"/>
              </w:rPr>
              <w:t xml:space="preserve">Energy Impact Common Units: </w:t>
            </w:r>
          </w:p>
        </w:tc>
        <w:tc>
          <w:tcPr>
            <w:tcW w:w="6300" w:type="dxa"/>
            <w:shd w:val="clear" w:color="auto" w:fill="FFFFFF"/>
          </w:tcPr>
          <w:p w14:paraId="5F514369" w14:textId="57DFD438" w:rsidR="00735CF0" w:rsidRPr="00873B7F" w:rsidRDefault="00437479" w:rsidP="008D3D2D">
            <w:pPr>
              <w:rPr>
                <w:rFonts w:ascii="Arial" w:hAnsi="Arial" w:cs="Arial"/>
                <w:bCs/>
                <w:sz w:val="20"/>
                <w:szCs w:val="20"/>
              </w:rPr>
            </w:pPr>
            <w:r w:rsidRPr="00873B7F">
              <w:rPr>
                <w:rFonts w:ascii="Arial" w:hAnsi="Arial" w:cs="Arial"/>
                <w:bCs/>
                <w:sz w:val="20"/>
                <w:szCs w:val="20"/>
              </w:rPr>
              <w:t>Each fixture</w:t>
            </w:r>
          </w:p>
        </w:tc>
      </w:tr>
      <w:tr w:rsidR="00735CF0" w:rsidRPr="00E0642C" w14:paraId="5EFF6282" w14:textId="77777777" w:rsidTr="00873B7F">
        <w:trPr>
          <w:trHeight w:val="465"/>
        </w:trPr>
        <w:tc>
          <w:tcPr>
            <w:tcW w:w="3348" w:type="dxa"/>
            <w:shd w:val="clear" w:color="auto" w:fill="FFFFFF"/>
          </w:tcPr>
          <w:p w14:paraId="088F27D7" w14:textId="77777777" w:rsidR="00735CF0" w:rsidRPr="00E0642C" w:rsidRDefault="00735CF0" w:rsidP="0028709C">
            <w:pPr>
              <w:rPr>
                <w:rFonts w:ascii="Arial" w:hAnsi="Arial" w:cs="Arial"/>
                <w:b/>
                <w:sz w:val="20"/>
                <w:szCs w:val="20"/>
              </w:rPr>
            </w:pPr>
            <w:r w:rsidRPr="00E0642C">
              <w:rPr>
                <w:rFonts w:ascii="Arial" w:hAnsi="Arial" w:cs="Arial"/>
                <w:b/>
                <w:sz w:val="20"/>
                <w:szCs w:val="20"/>
              </w:rPr>
              <w:t>Base Case Description:</w:t>
            </w:r>
          </w:p>
        </w:tc>
        <w:tc>
          <w:tcPr>
            <w:tcW w:w="6300" w:type="dxa"/>
            <w:shd w:val="clear" w:color="auto" w:fill="FFFFFF"/>
          </w:tcPr>
          <w:p w14:paraId="037E816B" w14:textId="31C325FD" w:rsidR="006072A7" w:rsidRPr="00873B7F" w:rsidRDefault="006144FB" w:rsidP="006072A7">
            <w:pPr>
              <w:rPr>
                <w:rFonts w:ascii="Arial" w:hAnsi="Arial" w:cs="Arial"/>
                <w:bCs/>
                <w:color w:val="000000"/>
                <w:sz w:val="20"/>
                <w:szCs w:val="20"/>
              </w:rPr>
            </w:pPr>
            <w:r w:rsidRPr="00873B7F">
              <w:rPr>
                <w:rFonts w:ascii="Arial" w:hAnsi="Arial" w:cs="Arial"/>
                <w:bCs/>
                <w:color w:val="000000"/>
                <w:sz w:val="20"/>
                <w:szCs w:val="20"/>
              </w:rPr>
              <w:t xml:space="preserve">Percentage mix of high performance </w:t>
            </w:r>
            <w:r w:rsidR="00B67AB6" w:rsidRPr="00873B7F">
              <w:rPr>
                <w:rFonts w:ascii="Arial" w:hAnsi="Arial" w:cs="Arial"/>
                <w:bCs/>
                <w:color w:val="000000"/>
                <w:sz w:val="20"/>
                <w:szCs w:val="20"/>
              </w:rPr>
              <w:t xml:space="preserve">Linear </w:t>
            </w:r>
            <w:r w:rsidR="008D3D2D" w:rsidRPr="00873B7F">
              <w:rPr>
                <w:rFonts w:ascii="Arial" w:hAnsi="Arial" w:cs="Arial"/>
                <w:bCs/>
                <w:color w:val="000000"/>
                <w:sz w:val="20"/>
                <w:szCs w:val="20"/>
              </w:rPr>
              <w:t>Fluorescent F</w:t>
            </w:r>
            <w:r w:rsidR="00DF6547" w:rsidRPr="00873B7F">
              <w:rPr>
                <w:rFonts w:ascii="Arial" w:hAnsi="Arial" w:cs="Arial"/>
                <w:bCs/>
                <w:color w:val="000000"/>
                <w:sz w:val="20"/>
                <w:szCs w:val="20"/>
              </w:rPr>
              <w:t>ixture</w:t>
            </w:r>
            <w:r w:rsidRPr="00873B7F">
              <w:rPr>
                <w:rFonts w:ascii="Arial" w:hAnsi="Arial" w:cs="Arial"/>
                <w:bCs/>
                <w:color w:val="000000"/>
                <w:sz w:val="20"/>
                <w:szCs w:val="20"/>
              </w:rPr>
              <w:t>s</w:t>
            </w:r>
            <w:r w:rsidR="00DF6547" w:rsidRPr="00873B7F">
              <w:rPr>
                <w:rFonts w:ascii="Arial" w:hAnsi="Arial" w:cs="Arial"/>
                <w:bCs/>
                <w:color w:val="000000"/>
                <w:sz w:val="20"/>
                <w:szCs w:val="20"/>
              </w:rPr>
              <w:t xml:space="preserve"> with </w:t>
            </w:r>
            <w:r w:rsidR="00B56D9D" w:rsidRPr="00873B7F">
              <w:rPr>
                <w:rFonts w:ascii="Arial" w:hAnsi="Arial" w:cs="Arial"/>
                <w:bCs/>
                <w:color w:val="000000"/>
                <w:sz w:val="20"/>
                <w:szCs w:val="20"/>
              </w:rPr>
              <w:t xml:space="preserve">2, 3, </w:t>
            </w:r>
            <w:r w:rsidR="00DF6547" w:rsidRPr="00873B7F">
              <w:rPr>
                <w:rFonts w:ascii="Arial" w:hAnsi="Arial" w:cs="Arial"/>
                <w:bCs/>
                <w:color w:val="000000"/>
                <w:sz w:val="20"/>
                <w:szCs w:val="20"/>
              </w:rPr>
              <w:t xml:space="preserve">4, </w:t>
            </w:r>
            <w:r w:rsidRPr="00873B7F">
              <w:rPr>
                <w:rFonts w:ascii="Arial" w:hAnsi="Arial" w:cs="Arial"/>
                <w:bCs/>
                <w:color w:val="000000"/>
                <w:sz w:val="20"/>
                <w:szCs w:val="20"/>
              </w:rPr>
              <w:t xml:space="preserve">6, </w:t>
            </w:r>
            <w:r w:rsidR="00DF6547" w:rsidRPr="00873B7F">
              <w:rPr>
                <w:rFonts w:ascii="Arial" w:hAnsi="Arial" w:cs="Arial"/>
                <w:bCs/>
                <w:color w:val="000000"/>
                <w:sz w:val="20"/>
                <w:szCs w:val="20"/>
              </w:rPr>
              <w:t>8</w:t>
            </w:r>
            <w:r w:rsidRPr="00873B7F">
              <w:rPr>
                <w:rFonts w:ascii="Arial" w:hAnsi="Arial" w:cs="Arial"/>
                <w:bCs/>
                <w:color w:val="000000"/>
                <w:sz w:val="20"/>
                <w:szCs w:val="20"/>
              </w:rPr>
              <w:t>, and 10</w:t>
            </w:r>
            <w:r w:rsidR="00DF6547" w:rsidRPr="00873B7F">
              <w:rPr>
                <w:rFonts w:ascii="Arial" w:hAnsi="Arial" w:cs="Arial"/>
                <w:bCs/>
                <w:color w:val="000000"/>
                <w:sz w:val="20"/>
                <w:szCs w:val="20"/>
              </w:rPr>
              <w:t xml:space="preserve"> </w:t>
            </w:r>
            <w:r w:rsidR="00941175" w:rsidRPr="00873B7F">
              <w:rPr>
                <w:rFonts w:ascii="Arial" w:hAnsi="Arial" w:cs="Arial"/>
                <w:bCs/>
                <w:color w:val="000000"/>
                <w:sz w:val="20"/>
                <w:szCs w:val="20"/>
              </w:rPr>
              <w:t>lamps</w:t>
            </w:r>
            <w:r w:rsidR="00CA0D3D" w:rsidRPr="00873B7F">
              <w:rPr>
                <w:rFonts w:ascii="Arial" w:hAnsi="Arial" w:cs="Arial"/>
                <w:bCs/>
                <w:color w:val="000000"/>
                <w:sz w:val="20"/>
                <w:szCs w:val="20"/>
              </w:rPr>
              <w:t>, linear LED replacement lamps (TLEDs)</w:t>
            </w:r>
            <w:r w:rsidR="005362B1" w:rsidRPr="00873B7F">
              <w:rPr>
                <w:rFonts w:ascii="Arial" w:hAnsi="Arial" w:cs="Arial"/>
                <w:bCs/>
                <w:color w:val="000000"/>
                <w:sz w:val="20"/>
                <w:szCs w:val="20"/>
              </w:rPr>
              <w:t>,</w:t>
            </w:r>
            <w:r w:rsidR="00941175" w:rsidRPr="00873B7F">
              <w:rPr>
                <w:rFonts w:ascii="Arial" w:hAnsi="Arial" w:cs="Arial"/>
                <w:bCs/>
                <w:color w:val="000000"/>
                <w:sz w:val="20"/>
                <w:szCs w:val="20"/>
              </w:rPr>
              <w:t xml:space="preserve"> and </w:t>
            </w:r>
            <w:r w:rsidR="005362B1" w:rsidRPr="00873B7F">
              <w:rPr>
                <w:rFonts w:ascii="Arial" w:hAnsi="Arial" w:cs="Arial"/>
                <w:bCs/>
                <w:color w:val="000000"/>
                <w:sz w:val="20"/>
                <w:szCs w:val="20"/>
              </w:rPr>
              <w:t xml:space="preserve">new </w:t>
            </w:r>
            <w:r w:rsidR="00941175" w:rsidRPr="00873B7F">
              <w:rPr>
                <w:rFonts w:ascii="Arial" w:hAnsi="Arial" w:cs="Arial"/>
                <w:bCs/>
                <w:color w:val="000000"/>
                <w:sz w:val="20"/>
                <w:szCs w:val="20"/>
              </w:rPr>
              <w:t>LED</w:t>
            </w:r>
            <w:r w:rsidR="005362B1" w:rsidRPr="00873B7F">
              <w:rPr>
                <w:rFonts w:ascii="Arial" w:hAnsi="Arial" w:cs="Arial"/>
                <w:bCs/>
                <w:color w:val="000000"/>
                <w:sz w:val="20"/>
                <w:szCs w:val="20"/>
              </w:rPr>
              <w:t xml:space="preserve"> fixtures and kits</w:t>
            </w:r>
            <w:r w:rsidR="00941175" w:rsidRPr="00873B7F">
              <w:rPr>
                <w:rFonts w:ascii="Arial" w:hAnsi="Arial" w:cs="Arial"/>
                <w:bCs/>
                <w:color w:val="000000"/>
                <w:sz w:val="20"/>
                <w:szCs w:val="20"/>
              </w:rPr>
              <w:t xml:space="preserve"> </w:t>
            </w:r>
          </w:p>
          <w:p w14:paraId="244DFD69" w14:textId="273796CD" w:rsidR="00735CF0" w:rsidRPr="00873B7F" w:rsidRDefault="00735CF0" w:rsidP="006072A7">
            <w:pPr>
              <w:rPr>
                <w:rFonts w:ascii="Arial" w:hAnsi="Arial" w:cs="Arial"/>
                <w:bCs/>
                <w:sz w:val="20"/>
                <w:szCs w:val="20"/>
              </w:rPr>
            </w:pPr>
            <w:r w:rsidRPr="00873B7F">
              <w:rPr>
                <w:rFonts w:ascii="Arial" w:hAnsi="Arial" w:cs="Arial"/>
                <w:bCs/>
                <w:sz w:val="20"/>
                <w:szCs w:val="20"/>
              </w:rPr>
              <w:t>Source: PG&amp;E Calculations.</w:t>
            </w:r>
          </w:p>
        </w:tc>
      </w:tr>
      <w:tr w:rsidR="00735CF0" w:rsidRPr="00E0642C" w14:paraId="21C2AE37" w14:textId="77777777" w:rsidTr="00873B7F">
        <w:trPr>
          <w:trHeight w:val="465"/>
        </w:trPr>
        <w:tc>
          <w:tcPr>
            <w:tcW w:w="3348" w:type="dxa"/>
            <w:shd w:val="clear" w:color="auto" w:fill="FFFFFF"/>
          </w:tcPr>
          <w:p w14:paraId="06730C5E" w14:textId="77777777" w:rsidR="00735CF0" w:rsidRPr="00E0642C" w:rsidRDefault="00735CF0" w:rsidP="0028709C">
            <w:pPr>
              <w:rPr>
                <w:rFonts w:ascii="Arial" w:hAnsi="Arial" w:cs="Arial"/>
                <w:b/>
                <w:sz w:val="20"/>
                <w:szCs w:val="20"/>
              </w:rPr>
            </w:pPr>
            <w:r w:rsidRPr="00E0642C">
              <w:rPr>
                <w:rFonts w:ascii="Arial" w:hAnsi="Arial" w:cs="Arial"/>
                <w:b/>
                <w:sz w:val="20"/>
                <w:szCs w:val="20"/>
              </w:rPr>
              <w:t xml:space="preserve">Base Case Energy Consumption: </w:t>
            </w:r>
          </w:p>
        </w:tc>
        <w:tc>
          <w:tcPr>
            <w:tcW w:w="6300" w:type="dxa"/>
            <w:shd w:val="clear" w:color="auto" w:fill="FFFFFF"/>
          </w:tcPr>
          <w:p w14:paraId="06AE1E49" w14:textId="192AB3B3" w:rsidR="00735CF0" w:rsidRPr="00873B7F" w:rsidRDefault="009B277A" w:rsidP="0037707D">
            <w:pPr>
              <w:rPr>
                <w:rFonts w:ascii="Arial" w:hAnsi="Arial" w:cs="Arial"/>
                <w:bCs/>
                <w:sz w:val="20"/>
                <w:szCs w:val="20"/>
              </w:rPr>
            </w:pPr>
            <w:r w:rsidRPr="00873B7F">
              <w:rPr>
                <w:rFonts w:ascii="Arial" w:hAnsi="Arial" w:cs="Arial"/>
                <w:sz w:val="20"/>
                <w:szCs w:val="20"/>
              </w:rPr>
              <w:t xml:space="preserve">Various. Refer to </w:t>
            </w:r>
            <w:r w:rsidR="00D13BF3" w:rsidRPr="00873B7F">
              <w:rPr>
                <w:rFonts w:ascii="Arial" w:hAnsi="Arial" w:cs="Arial"/>
                <w:sz w:val="20"/>
                <w:szCs w:val="20"/>
              </w:rPr>
              <w:t xml:space="preserve">attached file </w:t>
            </w:r>
            <w:r w:rsidR="00E37086" w:rsidRPr="00873B7F">
              <w:rPr>
                <w:rFonts w:ascii="Arial" w:hAnsi="Arial" w:cs="Arial"/>
                <w:color w:val="000000"/>
                <w:sz w:val="20"/>
                <w:szCs w:val="20"/>
              </w:rPr>
              <w:t xml:space="preserve">PGECOLTG178 R4 </w:t>
            </w:r>
            <w:proofErr w:type="spellStart"/>
            <w:r w:rsidR="00E37086" w:rsidRPr="00873B7F">
              <w:rPr>
                <w:rFonts w:ascii="Arial" w:hAnsi="Arial" w:cs="Arial"/>
                <w:color w:val="000000"/>
                <w:sz w:val="20"/>
                <w:szCs w:val="20"/>
              </w:rPr>
              <w:t>HighLowBay</w:t>
            </w:r>
            <w:proofErr w:type="spellEnd"/>
            <w:r w:rsidR="002803E7">
              <w:rPr>
                <w:rFonts w:ascii="Arial" w:hAnsi="Arial" w:cs="Arial"/>
                <w:color w:val="000000"/>
                <w:sz w:val="20"/>
                <w:szCs w:val="20"/>
              </w:rPr>
              <w:t xml:space="preserve"> </w:t>
            </w:r>
            <w:r w:rsidR="00E37086" w:rsidRPr="00873B7F">
              <w:rPr>
                <w:rFonts w:ascii="Arial" w:hAnsi="Arial" w:cs="Arial"/>
                <w:color w:val="000000"/>
                <w:sz w:val="20"/>
                <w:szCs w:val="20"/>
              </w:rPr>
              <w:t>Calc</w:t>
            </w:r>
            <w:r w:rsidR="00D13BF3" w:rsidRPr="00873B7F">
              <w:rPr>
                <w:rFonts w:ascii="Arial" w:hAnsi="Arial" w:cs="Arial"/>
                <w:color w:val="000000"/>
                <w:sz w:val="20"/>
                <w:szCs w:val="20"/>
              </w:rPr>
              <w:t>_Mar2019</w:t>
            </w:r>
            <w:r w:rsidR="00E37086" w:rsidRPr="00873B7F">
              <w:rPr>
                <w:rFonts w:ascii="Arial" w:hAnsi="Arial" w:cs="Arial"/>
                <w:color w:val="000000"/>
                <w:sz w:val="20"/>
                <w:szCs w:val="20"/>
              </w:rPr>
              <w:t>.xlsx</w:t>
            </w:r>
          </w:p>
          <w:p w14:paraId="60CC8978" w14:textId="77777777" w:rsidR="00735CF0" w:rsidRPr="00873B7F" w:rsidRDefault="00735CF0" w:rsidP="008D3D2D">
            <w:pPr>
              <w:rPr>
                <w:rFonts w:ascii="Arial" w:hAnsi="Arial" w:cs="Arial"/>
                <w:bCs/>
                <w:sz w:val="20"/>
                <w:szCs w:val="20"/>
              </w:rPr>
            </w:pPr>
            <w:r w:rsidRPr="00873B7F">
              <w:rPr>
                <w:rFonts w:ascii="Arial" w:hAnsi="Arial" w:cs="Arial"/>
                <w:bCs/>
                <w:sz w:val="20"/>
                <w:szCs w:val="20"/>
              </w:rPr>
              <w:t>Source: PG&amp;E Calculations.</w:t>
            </w:r>
          </w:p>
        </w:tc>
      </w:tr>
      <w:tr w:rsidR="00735CF0" w:rsidRPr="00E0642C" w14:paraId="57D57124" w14:textId="77777777" w:rsidTr="00873B7F">
        <w:trPr>
          <w:trHeight w:val="465"/>
        </w:trPr>
        <w:tc>
          <w:tcPr>
            <w:tcW w:w="3348" w:type="dxa"/>
            <w:shd w:val="clear" w:color="auto" w:fill="FFFFFF"/>
          </w:tcPr>
          <w:p w14:paraId="44A243DB" w14:textId="77777777" w:rsidR="00735CF0" w:rsidRPr="00E0642C" w:rsidRDefault="00735CF0" w:rsidP="0028709C">
            <w:pPr>
              <w:rPr>
                <w:rFonts w:ascii="Arial" w:hAnsi="Arial" w:cs="Arial"/>
                <w:b/>
                <w:sz w:val="20"/>
                <w:szCs w:val="20"/>
              </w:rPr>
            </w:pPr>
            <w:r w:rsidRPr="00E0642C">
              <w:rPr>
                <w:rFonts w:ascii="Arial" w:hAnsi="Arial" w:cs="Arial"/>
                <w:b/>
                <w:sz w:val="20"/>
                <w:szCs w:val="20"/>
              </w:rPr>
              <w:t>Measure Energy Consumption:</w:t>
            </w:r>
          </w:p>
          <w:p w14:paraId="2011F42A" w14:textId="77777777" w:rsidR="00735CF0" w:rsidRPr="00E0642C" w:rsidRDefault="00735CF0" w:rsidP="0028709C">
            <w:pPr>
              <w:rPr>
                <w:rFonts w:ascii="Arial" w:hAnsi="Arial" w:cs="Arial"/>
                <w:b/>
                <w:sz w:val="20"/>
                <w:szCs w:val="20"/>
              </w:rPr>
            </w:pPr>
          </w:p>
        </w:tc>
        <w:tc>
          <w:tcPr>
            <w:tcW w:w="6300" w:type="dxa"/>
            <w:shd w:val="clear" w:color="auto" w:fill="FFFFFF"/>
          </w:tcPr>
          <w:p w14:paraId="6B7BA1D8" w14:textId="77777777" w:rsidR="002803E7" w:rsidRPr="00873B7F" w:rsidRDefault="002803E7" w:rsidP="002803E7">
            <w:pPr>
              <w:rPr>
                <w:rFonts w:ascii="Arial" w:hAnsi="Arial" w:cs="Arial"/>
                <w:bCs/>
                <w:sz w:val="20"/>
                <w:szCs w:val="20"/>
              </w:rPr>
            </w:pPr>
            <w:r w:rsidRPr="00873B7F">
              <w:rPr>
                <w:rFonts w:ascii="Arial" w:hAnsi="Arial" w:cs="Arial"/>
                <w:sz w:val="20"/>
                <w:szCs w:val="20"/>
              </w:rPr>
              <w:t xml:space="preserve">Various. Refer to attached file </w:t>
            </w:r>
            <w:r w:rsidRPr="00873B7F">
              <w:rPr>
                <w:rFonts w:ascii="Arial" w:hAnsi="Arial" w:cs="Arial"/>
                <w:color w:val="000000"/>
                <w:sz w:val="20"/>
                <w:szCs w:val="20"/>
              </w:rPr>
              <w:t xml:space="preserve">PGECOLTG178 R4 </w:t>
            </w:r>
            <w:proofErr w:type="spellStart"/>
            <w:r w:rsidRPr="00873B7F">
              <w:rPr>
                <w:rFonts w:ascii="Arial" w:hAnsi="Arial" w:cs="Arial"/>
                <w:color w:val="000000"/>
                <w:sz w:val="20"/>
                <w:szCs w:val="20"/>
              </w:rPr>
              <w:t>HighLowBay</w:t>
            </w:r>
            <w:proofErr w:type="spellEnd"/>
            <w:r>
              <w:rPr>
                <w:rFonts w:ascii="Arial" w:hAnsi="Arial" w:cs="Arial"/>
                <w:color w:val="000000"/>
                <w:sz w:val="20"/>
                <w:szCs w:val="20"/>
              </w:rPr>
              <w:t xml:space="preserve"> </w:t>
            </w:r>
            <w:r w:rsidRPr="00873B7F">
              <w:rPr>
                <w:rFonts w:ascii="Arial" w:hAnsi="Arial" w:cs="Arial"/>
                <w:color w:val="000000"/>
                <w:sz w:val="20"/>
                <w:szCs w:val="20"/>
              </w:rPr>
              <w:t>Calc_Mar2019.xlsx</w:t>
            </w:r>
          </w:p>
          <w:p w14:paraId="3F9525BC" w14:textId="77777777" w:rsidR="00735CF0" w:rsidRPr="00873B7F" w:rsidRDefault="00735CF0" w:rsidP="008D3D2D">
            <w:pPr>
              <w:rPr>
                <w:rFonts w:ascii="Arial" w:hAnsi="Arial" w:cs="Arial"/>
                <w:bCs/>
                <w:sz w:val="20"/>
                <w:szCs w:val="20"/>
              </w:rPr>
            </w:pPr>
            <w:r w:rsidRPr="00873B7F">
              <w:rPr>
                <w:rFonts w:ascii="Arial" w:hAnsi="Arial" w:cs="Arial"/>
                <w:bCs/>
                <w:sz w:val="20"/>
                <w:szCs w:val="20"/>
              </w:rPr>
              <w:t>Source: PG&amp;E Calculations.</w:t>
            </w:r>
          </w:p>
        </w:tc>
      </w:tr>
      <w:tr w:rsidR="00735CF0" w:rsidRPr="00E0642C" w14:paraId="642659C0" w14:textId="77777777" w:rsidTr="002803E7">
        <w:trPr>
          <w:trHeight w:val="557"/>
        </w:trPr>
        <w:tc>
          <w:tcPr>
            <w:tcW w:w="3348" w:type="dxa"/>
            <w:shd w:val="clear" w:color="auto" w:fill="FFFFFF"/>
          </w:tcPr>
          <w:p w14:paraId="75310AB9" w14:textId="77777777" w:rsidR="006D7ECE" w:rsidRDefault="00735CF0" w:rsidP="0028709C">
            <w:pPr>
              <w:rPr>
                <w:rFonts w:ascii="Arial" w:hAnsi="Arial" w:cs="Arial"/>
                <w:b/>
                <w:sz w:val="20"/>
                <w:szCs w:val="20"/>
              </w:rPr>
            </w:pPr>
            <w:r w:rsidRPr="00E0642C">
              <w:rPr>
                <w:rFonts w:ascii="Arial" w:hAnsi="Arial" w:cs="Arial"/>
                <w:b/>
                <w:sz w:val="20"/>
                <w:szCs w:val="20"/>
              </w:rPr>
              <w:t>Energy Savings</w:t>
            </w:r>
          </w:p>
          <w:p w14:paraId="326255BC" w14:textId="75756153" w:rsidR="00735CF0" w:rsidRPr="00E0642C" w:rsidRDefault="00735CF0" w:rsidP="0028709C">
            <w:pPr>
              <w:rPr>
                <w:rFonts w:ascii="Arial" w:hAnsi="Arial" w:cs="Arial"/>
                <w:b/>
                <w:sz w:val="20"/>
                <w:szCs w:val="20"/>
              </w:rPr>
            </w:pPr>
            <w:r w:rsidRPr="00E0642C">
              <w:rPr>
                <w:rFonts w:ascii="Arial" w:hAnsi="Arial" w:cs="Arial"/>
                <w:b/>
                <w:sz w:val="20"/>
                <w:szCs w:val="20"/>
              </w:rPr>
              <w:t xml:space="preserve"> (Base Case – Measure)</w:t>
            </w:r>
            <w:r w:rsidR="00946BD7" w:rsidRPr="00E0642C">
              <w:rPr>
                <w:rFonts w:ascii="Arial" w:hAnsi="Arial" w:cs="Arial"/>
                <w:b/>
                <w:sz w:val="20"/>
                <w:szCs w:val="20"/>
              </w:rPr>
              <w:t>:</w:t>
            </w:r>
          </w:p>
        </w:tc>
        <w:tc>
          <w:tcPr>
            <w:tcW w:w="6300" w:type="dxa"/>
            <w:shd w:val="clear" w:color="auto" w:fill="FFFFFF"/>
          </w:tcPr>
          <w:p w14:paraId="00FCDC6D" w14:textId="24A8CAD6" w:rsidR="002803E7" w:rsidRDefault="00D13BF3" w:rsidP="0037707D">
            <w:pPr>
              <w:rPr>
                <w:rFonts w:ascii="Arial" w:hAnsi="Arial" w:cs="Arial"/>
                <w:bCs/>
                <w:sz w:val="20"/>
                <w:szCs w:val="20"/>
              </w:rPr>
            </w:pPr>
            <w:r w:rsidRPr="00873B7F">
              <w:rPr>
                <w:rFonts w:ascii="Arial" w:hAnsi="Arial" w:cs="Arial"/>
                <w:sz w:val="20"/>
                <w:szCs w:val="20"/>
              </w:rPr>
              <w:t xml:space="preserve">Various. Refer to attached file </w:t>
            </w:r>
            <w:r w:rsidRPr="00873B7F">
              <w:rPr>
                <w:rFonts w:ascii="Arial" w:hAnsi="Arial" w:cs="Arial"/>
                <w:color w:val="000000"/>
                <w:sz w:val="20"/>
                <w:szCs w:val="20"/>
              </w:rPr>
              <w:t xml:space="preserve">PGECOLTG178 R4 </w:t>
            </w:r>
            <w:proofErr w:type="spellStart"/>
            <w:r w:rsidRPr="00873B7F">
              <w:rPr>
                <w:rFonts w:ascii="Arial" w:hAnsi="Arial" w:cs="Arial"/>
                <w:color w:val="000000"/>
                <w:sz w:val="20"/>
                <w:szCs w:val="20"/>
              </w:rPr>
              <w:t>HighLowBay</w:t>
            </w:r>
            <w:proofErr w:type="spellEnd"/>
            <w:r w:rsidRPr="00873B7F">
              <w:rPr>
                <w:rFonts w:ascii="Arial" w:hAnsi="Arial" w:cs="Arial"/>
                <w:color w:val="000000"/>
                <w:sz w:val="20"/>
                <w:szCs w:val="20"/>
              </w:rPr>
              <w:t xml:space="preserve"> Calc_Mar2019.xlsx</w:t>
            </w:r>
            <w:r w:rsidRPr="00873B7F">
              <w:rPr>
                <w:rFonts w:ascii="Arial" w:hAnsi="Arial" w:cs="Arial"/>
                <w:bCs/>
                <w:sz w:val="20"/>
                <w:szCs w:val="20"/>
              </w:rPr>
              <w:t xml:space="preserve"> </w:t>
            </w:r>
          </w:p>
          <w:p w14:paraId="206BD711" w14:textId="7FA0E5EF" w:rsidR="00735CF0" w:rsidRPr="00873B7F" w:rsidRDefault="00735CF0" w:rsidP="0037707D">
            <w:pPr>
              <w:rPr>
                <w:rFonts w:ascii="Arial" w:hAnsi="Arial" w:cs="Arial"/>
                <w:bCs/>
                <w:sz w:val="20"/>
                <w:szCs w:val="20"/>
              </w:rPr>
            </w:pPr>
            <w:r w:rsidRPr="00873B7F">
              <w:rPr>
                <w:rFonts w:ascii="Arial" w:hAnsi="Arial" w:cs="Arial"/>
                <w:bCs/>
                <w:sz w:val="20"/>
                <w:szCs w:val="20"/>
              </w:rPr>
              <w:t>Source: PG&amp;E Calculations.</w:t>
            </w:r>
          </w:p>
        </w:tc>
      </w:tr>
      <w:tr w:rsidR="00735CF0" w:rsidRPr="00E0642C" w14:paraId="4507C4B6" w14:textId="77777777" w:rsidTr="00873B7F">
        <w:trPr>
          <w:trHeight w:val="486"/>
        </w:trPr>
        <w:tc>
          <w:tcPr>
            <w:tcW w:w="3348" w:type="dxa"/>
            <w:shd w:val="clear" w:color="auto" w:fill="FFFFFF"/>
          </w:tcPr>
          <w:p w14:paraId="2E4E1765" w14:textId="77777777" w:rsidR="00735CF0" w:rsidRPr="00E0642C" w:rsidRDefault="00735CF0" w:rsidP="0028709C">
            <w:pPr>
              <w:rPr>
                <w:rFonts w:ascii="Arial" w:hAnsi="Arial" w:cs="Arial"/>
                <w:b/>
                <w:sz w:val="20"/>
                <w:szCs w:val="20"/>
              </w:rPr>
            </w:pPr>
            <w:r w:rsidRPr="00E0642C">
              <w:rPr>
                <w:rFonts w:ascii="Arial" w:hAnsi="Arial" w:cs="Arial"/>
                <w:b/>
                <w:sz w:val="20"/>
                <w:szCs w:val="20"/>
              </w:rPr>
              <w:t xml:space="preserve">Costs Common Units: </w:t>
            </w:r>
          </w:p>
        </w:tc>
        <w:tc>
          <w:tcPr>
            <w:tcW w:w="6300" w:type="dxa"/>
            <w:shd w:val="clear" w:color="auto" w:fill="FFFFFF"/>
          </w:tcPr>
          <w:p w14:paraId="04E44A6C" w14:textId="160CAEB9" w:rsidR="00735CF0" w:rsidRPr="00873B7F" w:rsidRDefault="00735CF0" w:rsidP="0035498F">
            <w:pPr>
              <w:pStyle w:val="EndnoteText"/>
              <w:rPr>
                <w:rFonts w:ascii="Arial" w:hAnsi="Arial" w:cs="Arial"/>
                <w:bCs/>
                <w:color w:val="FF0000"/>
              </w:rPr>
            </w:pPr>
            <w:r w:rsidRPr="00873B7F">
              <w:rPr>
                <w:rFonts w:ascii="Arial" w:hAnsi="Arial" w:cs="Arial"/>
                <w:bCs/>
              </w:rPr>
              <w:t xml:space="preserve">$ </w:t>
            </w:r>
            <w:r w:rsidR="0034271B" w:rsidRPr="00873B7F">
              <w:rPr>
                <w:rFonts w:ascii="Arial" w:hAnsi="Arial" w:cs="Arial"/>
                <w:bCs/>
              </w:rPr>
              <w:t>p</w:t>
            </w:r>
            <w:r w:rsidR="006E0C8B" w:rsidRPr="00873B7F">
              <w:rPr>
                <w:rFonts w:ascii="Arial" w:hAnsi="Arial" w:cs="Arial"/>
                <w:bCs/>
              </w:rPr>
              <w:t>er</w:t>
            </w:r>
            <w:r w:rsidRPr="00873B7F">
              <w:rPr>
                <w:rFonts w:ascii="Arial" w:hAnsi="Arial" w:cs="Arial"/>
                <w:bCs/>
              </w:rPr>
              <w:t xml:space="preserve"> </w:t>
            </w:r>
            <w:r w:rsidR="00D13BF3" w:rsidRPr="00873B7F">
              <w:rPr>
                <w:rFonts w:ascii="Arial" w:hAnsi="Arial" w:cs="Arial"/>
                <w:bCs/>
              </w:rPr>
              <w:t>lumen</w:t>
            </w:r>
          </w:p>
        </w:tc>
      </w:tr>
      <w:tr w:rsidR="00735CF0" w:rsidRPr="00E0642C" w14:paraId="1D912149" w14:textId="77777777" w:rsidTr="00873B7F">
        <w:trPr>
          <w:trHeight w:val="465"/>
        </w:trPr>
        <w:tc>
          <w:tcPr>
            <w:tcW w:w="3348" w:type="dxa"/>
            <w:shd w:val="clear" w:color="auto" w:fill="FFFFFF"/>
          </w:tcPr>
          <w:p w14:paraId="56124BCA" w14:textId="32077EAE" w:rsidR="00735CF0" w:rsidRPr="00E0642C" w:rsidRDefault="00735CF0" w:rsidP="00D13BF3">
            <w:pPr>
              <w:rPr>
                <w:rFonts w:ascii="Arial" w:hAnsi="Arial" w:cs="Arial"/>
                <w:b/>
                <w:sz w:val="20"/>
                <w:szCs w:val="20"/>
              </w:rPr>
            </w:pPr>
            <w:r w:rsidRPr="00E0642C">
              <w:rPr>
                <w:rFonts w:ascii="Arial" w:hAnsi="Arial" w:cs="Arial"/>
                <w:b/>
                <w:sz w:val="20"/>
                <w:szCs w:val="20"/>
              </w:rPr>
              <w:t>Base Case Equipment Cost ($/</w:t>
            </w:r>
            <w:r w:rsidR="00D13BF3">
              <w:rPr>
                <w:rFonts w:ascii="Arial" w:hAnsi="Arial" w:cs="Arial"/>
                <w:b/>
                <w:sz w:val="20"/>
                <w:szCs w:val="20"/>
              </w:rPr>
              <w:t>lumen</w:t>
            </w:r>
            <w:r w:rsidRPr="00E0642C">
              <w:rPr>
                <w:rFonts w:ascii="Arial" w:hAnsi="Arial" w:cs="Arial"/>
                <w:b/>
                <w:sz w:val="20"/>
                <w:szCs w:val="20"/>
              </w:rPr>
              <w:t>):</w:t>
            </w:r>
          </w:p>
        </w:tc>
        <w:tc>
          <w:tcPr>
            <w:tcW w:w="6300" w:type="dxa"/>
            <w:shd w:val="clear" w:color="auto" w:fill="FFFFFF"/>
          </w:tcPr>
          <w:p w14:paraId="16F25DC6" w14:textId="533B2A75" w:rsidR="00735CF0" w:rsidRPr="00873B7F" w:rsidRDefault="00D13BF3" w:rsidP="0037707D">
            <w:pPr>
              <w:rPr>
                <w:rFonts w:ascii="Arial" w:hAnsi="Arial" w:cs="Arial"/>
                <w:bCs/>
                <w:sz w:val="20"/>
                <w:szCs w:val="20"/>
              </w:rPr>
            </w:pPr>
            <w:r w:rsidRPr="00873B7F">
              <w:rPr>
                <w:rFonts w:ascii="Arial" w:hAnsi="Arial" w:cs="Arial"/>
                <w:sz w:val="20"/>
                <w:szCs w:val="20"/>
              </w:rPr>
              <w:t>Various. Refer to attached file</w:t>
            </w:r>
            <w:r w:rsidR="00873B7F" w:rsidRPr="00873B7F">
              <w:rPr>
                <w:rFonts w:ascii="Arial" w:hAnsi="Arial" w:cs="Arial"/>
                <w:sz w:val="20"/>
                <w:szCs w:val="20"/>
              </w:rPr>
              <w:t>s</w:t>
            </w:r>
            <w:r w:rsidRPr="00873B7F">
              <w:rPr>
                <w:rFonts w:ascii="Arial" w:hAnsi="Arial" w:cs="Arial"/>
                <w:sz w:val="20"/>
                <w:szCs w:val="20"/>
              </w:rPr>
              <w:t xml:space="preserve"> </w:t>
            </w:r>
            <w:r w:rsidRPr="00873B7F">
              <w:rPr>
                <w:rFonts w:ascii="Arial" w:hAnsi="Arial" w:cs="Arial"/>
                <w:color w:val="000000"/>
                <w:sz w:val="20"/>
                <w:szCs w:val="20"/>
              </w:rPr>
              <w:t xml:space="preserve">PGECOLTG178 R4 </w:t>
            </w:r>
            <w:proofErr w:type="spellStart"/>
            <w:r w:rsidRPr="00873B7F">
              <w:rPr>
                <w:rFonts w:ascii="Arial" w:hAnsi="Arial" w:cs="Arial"/>
                <w:color w:val="000000"/>
                <w:sz w:val="20"/>
                <w:szCs w:val="20"/>
              </w:rPr>
              <w:t>HighLowBay</w:t>
            </w:r>
            <w:proofErr w:type="spellEnd"/>
            <w:r w:rsidR="002803E7">
              <w:rPr>
                <w:rFonts w:ascii="Arial" w:hAnsi="Arial" w:cs="Arial"/>
                <w:color w:val="000000"/>
                <w:sz w:val="20"/>
                <w:szCs w:val="20"/>
              </w:rPr>
              <w:t xml:space="preserve"> </w:t>
            </w:r>
            <w:r w:rsidRPr="00873B7F">
              <w:rPr>
                <w:rFonts w:ascii="Arial" w:hAnsi="Arial" w:cs="Arial"/>
                <w:color w:val="000000"/>
                <w:sz w:val="20"/>
                <w:szCs w:val="20"/>
              </w:rPr>
              <w:t>Calc_Mar2019.xlsx</w:t>
            </w:r>
            <w:r w:rsidR="00873B7F" w:rsidRPr="00873B7F">
              <w:rPr>
                <w:rFonts w:ascii="Arial" w:hAnsi="Arial" w:cs="Arial"/>
                <w:color w:val="000000"/>
                <w:sz w:val="20"/>
                <w:szCs w:val="20"/>
              </w:rPr>
              <w:t xml:space="preserve"> and Copy of TLED Cost Data_FEB2019.xlsx</w:t>
            </w:r>
          </w:p>
          <w:p w14:paraId="6B044327" w14:textId="060E451D" w:rsidR="00735CF0" w:rsidRPr="00873B7F" w:rsidRDefault="00735CF0" w:rsidP="005D698C">
            <w:pPr>
              <w:rPr>
                <w:rFonts w:ascii="Arial" w:hAnsi="Arial" w:cs="Arial"/>
                <w:sz w:val="20"/>
                <w:szCs w:val="20"/>
              </w:rPr>
            </w:pPr>
            <w:r w:rsidRPr="00873B7F">
              <w:rPr>
                <w:rFonts w:ascii="Arial" w:hAnsi="Arial" w:cs="Arial"/>
                <w:sz w:val="20"/>
                <w:szCs w:val="20"/>
              </w:rPr>
              <w:t xml:space="preserve">Source: </w:t>
            </w:r>
            <w:r w:rsidR="00190AEF" w:rsidRPr="00873B7F">
              <w:rPr>
                <w:rFonts w:ascii="Arial" w:hAnsi="Arial" w:cs="Arial"/>
                <w:sz w:val="20"/>
                <w:szCs w:val="20"/>
              </w:rPr>
              <w:t xml:space="preserve">PG&amp;E </w:t>
            </w:r>
            <w:r w:rsidR="0072168D" w:rsidRPr="00873B7F">
              <w:rPr>
                <w:rFonts w:ascii="Arial" w:hAnsi="Arial" w:cs="Arial"/>
                <w:sz w:val="20"/>
                <w:szCs w:val="20"/>
              </w:rPr>
              <w:t xml:space="preserve">&amp; SCE </w:t>
            </w:r>
            <w:r w:rsidR="00190AEF" w:rsidRPr="00873B7F">
              <w:rPr>
                <w:rFonts w:ascii="Arial" w:hAnsi="Arial" w:cs="Arial"/>
                <w:sz w:val="20"/>
                <w:szCs w:val="20"/>
              </w:rPr>
              <w:t>Program Data</w:t>
            </w:r>
            <w:r w:rsidR="005D698C" w:rsidRPr="00873B7F">
              <w:rPr>
                <w:rFonts w:ascii="Arial" w:hAnsi="Arial" w:cs="Arial"/>
                <w:sz w:val="20"/>
                <w:szCs w:val="20"/>
              </w:rPr>
              <w:t xml:space="preserve">, online </w:t>
            </w:r>
            <w:proofErr w:type="spellStart"/>
            <w:r w:rsidR="005D698C" w:rsidRPr="00873B7F">
              <w:rPr>
                <w:rFonts w:ascii="Arial" w:hAnsi="Arial" w:cs="Arial"/>
                <w:sz w:val="20"/>
                <w:szCs w:val="20"/>
              </w:rPr>
              <w:t>webscraping</w:t>
            </w:r>
            <w:proofErr w:type="spellEnd"/>
            <w:r w:rsidR="005D698C" w:rsidRPr="00873B7F">
              <w:rPr>
                <w:rFonts w:ascii="Arial" w:hAnsi="Arial" w:cs="Arial"/>
                <w:sz w:val="20"/>
                <w:szCs w:val="20"/>
              </w:rPr>
              <w:t>, distributor cost data</w:t>
            </w:r>
          </w:p>
        </w:tc>
      </w:tr>
      <w:tr w:rsidR="00735CF0" w:rsidRPr="00E0642C" w14:paraId="56795B29" w14:textId="77777777" w:rsidTr="00873B7F">
        <w:trPr>
          <w:trHeight w:val="465"/>
        </w:trPr>
        <w:tc>
          <w:tcPr>
            <w:tcW w:w="3348" w:type="dxa"/>
            <w:shd w:val="clear" w:color="auto" w:fill="FFFFFF"/>
          </w:tcPr>
          <w:p w14:paraId="63B6B992" w14:textId="0E482FF9" w:rsidR="00735CF0" w:rsidRPr="00E0642C" w:rsidRDefault="00735CF0" w:rsidP="00D171B6">
            <w:pPr>
              <w:rPr>
                <w:rFonts w:ascii="Arial" w:hAnsi="Arial" w:cs="Arial"/>
                <w:b/>
                <w:sz w:val="20"/>
                <w:szCs w:val="20"/>
              </w:rPr>
            </w:pPr>
            <w:r w:rsidRPr="00E0642C">
              <w:rPr>
                <w:rFonts w:ascii="Arial" w:hAnsi="Arial" w:cs="Arial"/>
                <w:b/>
                <w:sz w:val="20"/>
                <w:szCs w:val="20"/>
              </w:rPr>
              <w:t xml:space="preserve">Measure Equipment Cost </w:t>
            </w:r>
            <w:r w:rsidR="00D13BF3" w:rsidRPr="00E0642C">
              <w:rPr>
                <w:rFonts w:ascii="Arial" w:hAnsi="Arial" w:cs="Arial"/>
                <w:b/>
                <w:sz w:val="20"/>
                <w:szCs w:val="20"/>
              </w:rPr>
              <w:t>($/</w:t>
            </w:r>
            <w:r w:rsidR="00D13BF3">
              <w:rPr>
                <w:rFonts w:ascii="Arial" w:hAnsi="Arial" w:cs="Arial"/>
                <w:b/>
                <w:sz w:val="20"/>
                <w:szCs w:val="20"/>
              </w:rPr>
              <w:t>lumen</w:t>
            </w:r>
            <w:r w:rsidR="00D13BF3" w:rsidRPr="00E0642C">
              <w:rPr>
                <w:rFonts w:ascii="Arial" w:hAnsi="Arial" w:cs="Arial"/>
                <w:b/>
                <w:sz w:val="20"/>
                <w:szCs w:val="20"/>
              </w:rPr>
              <w:t>):</w:t>
            </w:r>
          </w:p>
        </w:tc>
        <w:tc>
          <w:tcPr>
            <w:tcW w:w="6300" w:type="dxa"/>
            <w:shd w:val="clear" w:color="auto" w:fill="FFFFFF"/>
          </w:tcPr>
          <w:p w14:paraId="617E359D" w14:textId="2D469767" w:rsidR="002803E7" w:rsidRDefault="00D13BF3" w:rsidP="005D698C">
            <w:pPr>
              <w:rPr>
                <w:rFonts w:ascii="Arial" w:hAnsi="Arial" w:cs="Arial"/>
                <w:sz w:val="20"/>
                <w:szCs w:val="20"/>
              </w:rPr>
            </w:pPr>
            <w:r w:rsidRPr="00873B7F">
              <w:rPr>
                <w:rFonts w:ascii="Arial" w:hAnsi="Arial" w:cs="Arial"/>
                <w:sz w:val="20"/>
                <w:szCs w:val="20"/>
              </w:rPr>
              <w:t xml:space="preserve">Various. Refer to attached file </w:t>
            </w:r>
            <w:r w:rsidRPr="00873B7F">
              <w:rPr>
                <w:rFonts w:ascii="Arial" w:hAnsi="Arial" w:cs="Arial"/>
                <w:color w:val="000000"/>
                <w:sz w:val="20"/>
                <w:szCs w:val="20"/>
              </w:rPr>
              <w:t xml:space="preserve">PGECOLTG178 R4 </w:t>
            </w:r>
            <w:proofErr w:type="spellStart"/>
            <w:r w:rsidRPr="00873B7F">
              <w:rPr>
                <w:rFonts w:ascii="Arial" w:hAnsi="Arial" w:cs="Arial"/>
                <w:color w:val="000000"/>
                <w:sz w:val="20"/>
                <w:szCs w:val="20"/>
              </w:rPr>
              <w:t>HighLowBay</w:t>
            </w:r>
            <w:proofErr w:type="spellEnd"/>
            <w:r w:rsidRPr="00873B7F">
              <w:rPr>
                <w:rFonts w:ascii="Arial" w:hAnsi="Arial" w:cs="Arial"/>
                <w:color w:val="000000"/>
                <w:sz w:val="20"/>
                <w:szCs w:val="20"/>
              </w:rPr>
              <w:t xml:space="preserve"> Calc_Mar2019.xlsx</w:t>
            </w:r>
            <w:r w:rsidRPr="00873B7F">
              <w:rPr>
                <w:rFonts w:ascii="Arial" w:hAnsi="Arial" w:cs="Arial"/>
                <w:sz w:val="20"/>
                <w:szCs w:val="20"/>
              </w:rPr>
              <w:t xml:space="preserve"> </w:t>
            </w:r>
          </w:p>
          <w:p w14:paraId="588DE43A" w14:textId="41DBAFBC" w:rsidR="00735CF0" w:rsidRPr="00873B7F" w:rsidRDefault="00735CF0" w:rsidP="005D698C">
            <w:pPr>
              <w:rPr>
                <w:rFonts w:ascii="Arial" w:hAnsi="Arial" w:cs="Arial"/>
                <w:sz w:val="20"/>
                <w:szCs w:val="20"/>
              </w:rPr>
            </w:pPr>
            <w:r w:rsidRPr="00873B7F">
              <w:rPr>
                <w:rFonts w:ascii="Arial" w:hAnsi="Arial" w:cs="Arial"/>
                <w:sz w:val="20"/>
                <w:szCs w:val="20"/>
              </w:rPr>
              <w:t>Source:</w:t>
            </w:r>
            <w:r w:rsidR="0082354A" w:rsidRPr="00873B7F">
              <w:rPr>
                <w:rFonts w:ascii="Arial" w:hAnsi="Arial" w:cs="Arial"/>
                <w:sz w:val="20"/>
                <w:szCs w:val="20"/>
              </w:rPr>
              <w:t xml:space="preserve"> </w:t>
            </w:r>
            <w:r w:rsidR="00190AEF" w:rsidRPr="00873B7F">
              <w:rPr>
                <w:rFonts w:ascii="Arial" w:hAnsi="Arial" w:cs="Arial"/>
                <w:sz w:val="20"/>
                <w:szCs w:val="20"/>
              </w:rPr>
              <w:t xml:space="preserve">PG&amp;E </w:t>
            </w:r>
            <w:r w:rsidR="0072168D" w:rsidRPr="00873B7F">
              <w:rPr>
                <w:rFonts w:ascii="Arial" w:hAnsi="Arial" w:cs="Arial"/>
                <w:sz w:val="20"/>
                <w:szCs w:val="20"/>
              </w:rPr>
              <w:t xml:space="preserve">&amp; SCE </w:t>
            </w:r>
            <w:r w:rsidR="00190AEF" w:rsidRPr="00873B7F">
              <w:rPr>
                <w:rFonts w:ascii="Arial" w:hAnsi="Arial" w:cs="Arial"/>
                <w:sz w:val="20"/>
                <w:szCs w:val="20"/>
              </w:rPr>
              <w:t>Program Data</w:t>
            </w:r>
            <w:r w:rsidR="00EF35A8" w:rsidRPr="00873B7F">
              <w:rPr>
                <w:rFonts w:ascii="Arial" w:hAnsi="Arial" w:cs="Arial"/>
                <w:sz w:val="20"/>
                <w:szCs w:val="20"/>
              </w:rPr>
              <w:t xml:space="preserve"> </w:t>
            </w:r>
            <w:r w:rsidR="005D698C" w:rsidRPr="00873B7F">
              <w:rPr>
                <w:rFonts w:ascii="Arial" w:hAnsi="Arial" w:cs="Arial"/>
                <w:sz w:val="20"/>
                <w:szCs w:val="20"/>
              </w:rPr>
              <w:t xml:space="preserve">, online </w:t>
            </w:r>
            <w:proofErr w:type="spellStart"/>
            <w:r w:rsidR="005D698C" w:rsidRPr="00873B7F">
              <w:rPr>
                <w:rFonts w:ascii="Arial" w:hAnsi="Arial" w:cs="Arial"/>
                <w:sz w:val="20"/>
                <w:szCs w:val="20"/>
              </w:rPr>
              <w:t>webscraping</w:t>
            </w:r>
            <w:proofErr w:type="spellEnd"/>
            <w:r w:rsidR="005D698C" w:rsidRPr="00873B7F">
              <w:rPr>
                <w:rFonts w:ascii="Arial" w:hAnsi="Arial" w:cs="Arial"/>
                <w:sz w:val="20"/>
                <w:szCs w:val="20"/>
              </w:rPr>
              <w:t xml:space="preserve">, distributor cost data </w:t>
            </w:r>
          </w:p>
        </w:tc>
      </w:tr>
      <w:tr w:rsidR="00735CF0" w:rsidRPr="00E0642C" w14:paraId="6CD07978" w14:textId="77777777" w:rsidTr="00873B7F">
        <w:trPr>
          <w:trHeight w:val="465"/>
        </w:trPr>
        <w:tc>
          <w:tcPr>
            <w:tcW w:w="3348" w:type="dxa"/>
            <w:shd w:val="clear" w:color="auto" w:fill="FFFFFF"/>
          </w:tcPr>
          <w:p w14:paraId="08AB28C9" w14:textId="77777777" w:rsidR="00735CF0" w:rsidRPr="00E0642C" w:rsidRDefault="00735CF0" w:rsidP="00D171B6">
            <w:pPr>
              <w:rPr>
                <w:rFonts w:ascii="Arial" w:hAnsi="Arial" w:cs="Arial"/>
                <w:b/>
                <w:sz w:val="20"/>
                <w:szCs w:val="20"/>
              </w:rPr>
            </w:pPr>
            <w:r w:rsidRPr="00E0642C">
              <w:rPr>
                <w:rFonts w:ascii="Arial" w:hAnsi="Arial" w:cs="Arial"/>
                <w:b/>
                <w:sz w:val="20"/>
                <w:szCs w:val="20"/>
              </w:rPr>
              <w:t>Gross Measure Cost ($/</w:t>
            </w:r>
            <w:r w:rsidR="00946BD7" w:rsidRPr="00E0642C">
              <w:rPr>
                <w:rFonts w:ascii="Arial" w:hAnsi="Arial" w:cs="Arial"/>
                <w:b/>
                <w:sz w:val="20"/>
                <w:szCs w:val="20"/>
              </w:rPr>
              <w:t>fixture</w:t>
            </w:r>
            <w:r w:rsidRPr="00E0642C">
              <w:rPr>
                <w:rFonts w:ascii="Arial" w:hAnsi="Arial" w:cs="Arial"/>
                <w:b/>
                <w:sz w:val="20"/>
                <w:szCs w:val="20"/>
              </w:rPr>
              <w:t>)</w:t>
            </w:r>
          </w:p>
        </w:tc>
        <w:tc>
          <w:tcPr>
            <w:tcW w:w="6300" w:type="dxa"/>
            <w:shd w:val="clear" w:color="auto" w:fill="FFFFFF"/>
          </w:tcPr>
          <w:p w14:paraId="29486849" w14:textId="61431464" w:rsidR="00735CF0" w:rsidRPr="00873B7F" w:rsidRDefault="00D13BF3">
            <w:pPr>
              <w:rPr>
                <w:rFonts w:ascii="Arial" w:hAnsi="Arial" w:cs="Arial"/>
                <w:color w:val="FF0000"/>
                <w:sz w:val="20"/>
                <w:szCs w:val="20"/>
              </w:rPr>
            </w:pPr>
            <w:r w:rsidRPr="00873B7F">
              <w:rPr>
                <w:rFonts w:ascii="Arial" w:hAnsi="Arial" w:cs="Arial"/>
                <w:sz w:val="20"/>
                <w:szCs w:val="20"/>
              </w:rPr>
              <w:t xml:space="preserve">Various. Refer to attached file </w:t>
            </w:r>
            <w:r w:rsidRPr="00873B7F">
              <w:rPr>
                <w:rFonts w:ascii="Arial" w:hAnsi="Arial" w:cs="Arial"/>
                <w:color w:val="000000"/>
                <w:sz w:val="20"/>
                <w:szCs w:val="20"/>
              </w:rPr>
              <w:t xml:space="preserve">PGECOLTG178 R4 </w:t>
            </w:r>
            <w:proofErr w:type="spellStart"/>
            <w:r w:rsidRPr="00873B7F">
              <w:rPr>
                <w:rFonts w:ascii="Arial" w:hAnsi="Arial" w:cs="Arial"/>
                <w:color w:val="000000"/>
                <w:sz w:val="20"/>
                <w:szCs w:val="20"/>
              </w:rPr>
              <w:t>HighLowBay</w:t>
            </w:r>
            <w:proofErr w:type="spellEnd"/>
            <w:r w:rsidRPr="00873B7F">
              <w:rPr>
                <w:rFonts w:ascii="Arial" w:hAnsi="Arial" w:cs="Arial"/>
                <w:color w:val="000000"/>
                <w:sz w:val="20"/>
                <w:szCs w:val="20"/>
              </w:rPr>
              <w:t xml:space="preserve"> Calc_Mar2019.xlsx</w:t>
            </w:r>
            <w:r w:rsidR="00EF35A8" w:rsidRPr="00873B7F">
              <w:rPr>
                <w:rFonts w:ascii="Arial" w:hAnsi="Arial" w:cs="Arial"/>
                <w:color w:val="000000"/>
                <w:sz w:val="20"/>
                <w:szCs w:val="20"/>
              </w:rPr>
              <w:t xml:space="preserve"> </w:t>
            </w:r>
          </w:p>
          <w:p w14:paraId="59D57403" w14:textId="3C6B366D" w:rsidR="00735CF0" w:rsidRPr="00873B7F" w:rsidRDefault="00735CF0" w:rsidP="005D698C">
            <w:pPr>
              <w:rPr>
                <w:rFonts w:ascii="Arial" w:hAnsi="Arial" w:cs="Arial"/>
                <w:color w:val="FF0000"/>
                <w:sz w:val="20"/>
                <w:szCs w:val="20"/>
              </w:rPr>
            </w:pPr>
            <w:r w:rsidRPr="00873B7F">
              <w:rPr>
                <w:rFonts w:ascii="Arial" w:hAnsi="Arial" w:cs="Arial"/>
                <w:color w:val="000000"/>
                <w:sz w:val="20"/>
                <w:szCs w:val="20"/>
              </w:rPr>
              <w:t xml:space="preserve">Source: </w:t>
            </w:r>
            <w:r w:rsidR="005F3DA0" w:rsidRPr="00873B7F">
              <w:rPr>
                <w:rFonts w:ascii="Arial" w:hAnsi="Arial" w:cs="Arial"/>
                <w:color w:val="000000"/>
                <w:sz w:val="20"/>
                <w:szCs w:val="20"/>
              </w:rPr>
              <w:t xml:space="preserve">PG&amp;E </w:t>
            </w:r>
            <w:r w:rsidR="0072168D" w:rsidRPr="00873B7F">
              <w:rPr>
                <w:rFonts w:ascii="Arial" w:hAnsi="Arial" w:cs="Arial"/>
                <w:color w:val="000000"/>
                <w:sz w:val="20"/>
                <w:szCs w:val="20"/>
              </w:rPr>
              <w:t xml:space="preserve">&amp; SCE </w:t>
            </w:r>
            <w:r w:rsidR="005D698C" w:rsidRPr="00873B7F">
              <w:rPr>
                <w:rFonts w:ascii="Arial" w:hAnsi="Arial" w:cs="Arial"/>
                <w:color w:val="000000"/>
                <w:sz w:val="20"/>
                <w:szCs w:val="20"/>
              </w:rPr>
              <w:t>Program Data</w:t>
            </w:r>
            <w:r w:rsidR="005D698C" w:rsidRPr="00873B7F">
              <w:rPr>
                <w:rFonts w:ascii="Arial" w:hAnsi="Arial" w:cs="Arial"/>
                <w:sz w:val="20"/>
                <w:szCs w:val="20"/>
              </w:rPr>
              <w:t xml:space="preserve">, online </w:t>
            </w:r>
            <w:proofErr w:type="spellStart"/>
            <w:r w:rsidR="005D698C" w:rsidRPr="00873B7F">
              <w:rPr>
                <w:rFonts w:ascii="Arial" w:hAnsi="Arial" w:cs="Arial"/>
                <w:sz w:val="20"/>
                <w:szCs w:val="20"/>
              </w:rPr>
              <w:t>webscraping</w:t>
            </w:r>
            <w:proofErr w:type="spellEnd"/>
            <w:r w:rsidR="005D698C" w:rsidRPr="00873B7F">
              <w:rPr>
                <w:rFonts w:ascii="Arial" w:hAnsi="Arial" w:cs="Arial"/>
                <w:sz w:val="20"/>
                <w:szCs w:val="20"/>
              </w:rPr>
              <w:t>, distributor cost data</w:t>
            </w:r>
            <w:r w:rsidR="005D698C" w:rsidRPr="00873B7F">
              <w:rPr>
                <w:rFonts w:ascii="Arial" w:hAnsi="Arial" w:cs="Arial"/>
                <w:color w:val="000000"/>
                <w:sz w:val="20"/>
                <w:szCs w:val="20"/>
              </w:rPr>
              <w:t xml:space="preserve"> </w:t>
            </w:r>
          </w:p>
        </w:tc>
      </w:tr>
      <w:tr w:rsidR="00735CF0" w:rsidRPr="00E0642C" w14:paraId="2C502B12" w14:textId="77777777" w:rsidTr="00873B7F">
        <w:trPr>
          <w:trHeight w:val="465"/>
        </w:trPr>
        <w:tc>
          <w:tcPr>
            <w:tcW w:w="3348" w:type="dxa"/>
            <w:shd w:val="clear" w:color="auto" w:fill="FFFFFF"/>
          </w:tcPr>
          <w:p w14:paraId="14D0DD65" w14:textId="7DB46365" w:rsidR="00735CF0" w:rsidRPr="00E0642C" w:rsidRDefault="00735CF0" w:rsidP="00D171B6">
            <w:pPr>
              <w:rPr>
                <w:rFonts w:ascii="Arial" w:hAnsi="Arial" w:cs="Arial"/>
                <w:b/>
                <w:sz w:val="20"/>
                <w:szCs w:val="20"/>
              </w:rPr>
            </w:pPr>
            <w:bookmarkStart w:id="4" w:name="OLE_LINK1"/>
            <w:r w:rsidRPr="00E0642C">
              <w:rPr>
                <w:rFonts w:ascii="Arial" w:hAnsi="Arial" w:cs="Arial"/>
                <w:b/>
                <w:sz w:val="20"/>
                <w:szCs w:val="20"/>
              </w:rPr>
              <w:t xml:space="preserve">Measure Incremental Cost </w:t>
            </w:r>
            <w:r w:rsidR="00D13BF3" w:rsidRPr="00E0642C">
              <w:rPr>
                <w:rFonts w:ascii="Arial" w:hAnsi="Arial" w:cs="Arial"/>
                <w:b/>
                <w:sz w:val="20"/>
                <w:szCs w:val="20"/>
              </w:rPr>
              <w:t>($/</w:t>
            </w:r>
            <w:r w:rsidR="00D13BF3">
              <w:rPr>
                <w:rFonts w:ascii="Arial" w:hAnsi="Arial" w:cs="Arial"/>
                <w:b/>
                <w:sz w:val="20"/>
                <w:szCs w:val="20"/>
              </w:rPr>
              <w:t>lumen</w:t>
            </w:r>
            <w:r w:rsidR="00D13BF3" w:rsidRPr="00E0642C">
              <w:rPr>
                <w:rFonts w:ascii="Arial" w:hAnsi="Arial" w:cs="Arial"/>
                <w:b/>
                <w:sz w:val="20"/>
                <w:szCs w:val="20"/>
              </w:rPr>
              <w:t>):</w:t>
            </w:r>
            <w:bookmarkEnd w:id="4"/>
          </w:p>
        </w:tc>
        <w:tc>
          <w:tcPr>
            <w:tcW w:w="6300" w:type="dxa"/>
            <w:shd w:val="clear" w:color="auto" w:fill="FFFFFF"/>
          </w:tcPr>
          <w:p w14:paraId="2BCA1547" w14:textId="617F7AF4" w:rsidR="00735CF0" w:rsidRPr="00873B7F" w:rsidRDefault="00D13BF3" w:rsidP="0037707D">
            <w:pPr>
              <w:rPr>
                <w:rFonts w:ascii="Arial" w:hAnsi="Arial" w:cs="Arial"/>
                <w:bCs/>
                <w:color w:val="000000"/>
                <w:sz w:val="20"/>
                <w:szCs w:val="20"/>
              </w:rPr>
            </w:pPr>
            <w:r w:rsidRPr="00873B7F">
              <w:rPr>
                <w:rFonts w:ascii="Arial" w:hAnsi="Arial" w:cs="Arial"/>
                <w:sz w:val="20"/>
                <w:szCs w:val="20"/>
              </w:rPr>
              <w:t xml:space="preserve">Various. Refer to attached file </w:t>
            </w:r>
            <w:r w:rsidRPr="00873B7F">
              <w:rPr>
                <w:rFonts w:ascii="Arial" w:hAnsi="Arial" w:cs="Arial"/>
                <w:color w:val="000000"/>
                <w:sz w:val="20"/>
                <w:szCs w:val="20"/>
              </w:rPr>
              <w:t xml:space="preserve">PGECOLTG178 R4 </w:t>
            </w:r>
            <w:proofErr w:type="spellStart"/>
            <w:r w:rsidRPr="00873B7F">
              <w:rPr>
                <w:rFonts w:ascii="Arial" w:hAnsi="Arial" w:cs="Arial"/>
                <w:color w:val="000000"/>
                <w:sz w:val="20"/>
                <w:szCs w:val="20"/>
              </w:rPr>
              <w:t>HighLowBay</w:t>
            </w:r>
            <w:proofErr w:type="spellEnd"/>
            <w:r w:rsidRPr="00873B7F">
              <w:rPr>
                <w:rFonts w:ascii="Arial" w:hAnsi="Arial" w:cs="Arial"/>
                <w:color w:val="000000"/>
                <w:sz w:val="20"/>
                <w:szCs w:val="20"/>
              </w:rPr>
              <w:t xml:space="preserve"> Calc_Mar2019.xlsx</w:t>
            </w:r>
          </w:p>
          <w:p w14:paraId="029F175E" w14:textId="00B6B89B" w:rsidR="00735CF0" w:rsidRPr="00873B7F" w:rsidRDefault="00735CF0" w:rsidP="005D698C">
            <w:pPr>
              <w:rPr>
                <w:rFonts w:ascii="Arial" w:hAnsi="Arial" w:cs="Arial"/>
                <w:color w:val="FF0000"/>
                <w:sz w:val="20"/>
                <w:szCs w:val="20"/>
              </w:rPr>
            </w:pPr>
            <w:r w:rsidRPr="00873B7F">
              <w:rPr>
                <w:rFonts w:ascii="Arial" w:hAnsi="Arial" w:cs="Arial"/>
                <w:color w:val="000000"/>
                <w:sz w:val="20"/>
                <w:szCs w:val="20"/>
              </w:rPr>
              <w:t xml:space="preserve">Source: </w:t>
            </w:r>
            <w:r w:rsidR="005F3DA0" w:rsidRPr="00873B7F">
              <w:rPr>
                <w:rFonts w:ascii="Arial" w:hAnsi="Arial" w:cs="Arial"/>
                <w:color w:val="000000"/>
                <w:sz w:val="20"/>
                <w:szCs w:val="20"/>
              </w:rPr>
              <w:t>PG&amp;E Calculations</w:t>
            </w:r>
          </w:p>
        </w:tc>
      </w:tr>
      <w:tr w:rsidR="00735CF0" w:rsidRPr="00E0642C" w14:paraId="68F7EB7D" w14:textId="77777777" w:rsidTr="00873B7F">
        <w:trPr>
          <w:trHeight w:val="465"/>
        </w:trPr>
        <w:tc>
          <w:tcPr>
            <w:tcW w:w="3348" w:type="dxa"/>
            <w:shd w:val="clear" w:color="auto" w:fill="FFFFFF"/>
          </w:tcPr>
          <w:p w14:paraId="1A9114AE" w14:textId="77777777" w:rsidR="00735CF0" w:rsidRPr="00E0642C" w:rsidRDefault="00735CF0" w:rsidP="0028709C">
            <w:pPr>
              <w:rPr>
                <w:rFonts w:ascii="Arial" w:hAnsi="Arial" w:cs="Arial"/>
                <w:b/>
                <w:sz w:val="20"/>
                <w:szCs w:val="20"/>
              </w:rPr>
            </w:pPr>
            <w:r w:rsidRPr="00E0642C">
              <w:rPr>
                <w:rFonts w:ascii="Arial" w:hAnsi="Arial" w:cs="Arial"/>
                <w:b/>
                <w:sz w:val="20"/>
                <w:szCs w:val="20"/>
              </w:rPr>
              <w:t xml:space="preserve">Effective Useful Life (years): </w:t>
            </w:r>
          </w:p>
        </w:tc>
        <w:tc>
          <w:tcPr>
            <w:tcW w:w="6300" w:type="dxa"/>
            <w:shd w:val="clear" w:color="auto" w:fill="FFFFFF"/>
          </w:tcPr>
          <w:p w14:paraId="4AD31819" w14:textId="5825F81C" w:rsidR="00735CF0" w:rsidRPr="00873B7F" w:rsidRDefault="005F3DA0" w:rsidP="0037707D">
            <w:pPr>
              <w:rPr>
                <w:rFonts w:ascii="Arial" w:hAnsi="Arial" w:cs="Arial"/>
                <w:bCs/>
                <w:sz w:val="20"/>
                <w:szCs w:val="20"/>
              </w:rPr>
            </w:pPr>
            <w:r w:rsidRPr="00873B7F">
              <w:rPr>
                <w:rFonts w:ascii="Arial" w:hAnsi="Arial" w:cs="Arial"/>
                <w:sz w:val="20"/>
                <w:szCs w:val="20"/>
              </w:rPr>
              <w:t>12 years, ILtg-Com-LED-50000hr</w:t>
            </w:r>
          </w:p>
          <w:p w14:paraId="1F505C76" w14:textId="7CD4B705" w:rsidR="00735CF0" w:rsidRPr="00873B7F" w:rsidRDefault="00735CF0">
            <w:pPr>
              <w:rPr>
                <w:rFonts w:ascii="Arial" w:hAnsi="Arial" w:cs="Arial"/>
                <w:sz w:val="20"/>
                <w:szCs w:val="20"/>
              </w:rPr>
            </w:pPr>
            <w:r w:rsidRPr="00873B7F">
              <w:rPr>
                <w:rFonts w:ascii="Arial" w:hAnsi="Arial" w:cs="Arial"/>
                <w:sz w:val="20"/>
                <w:szCs w:val="20"/>
              </w:rPr>
              <w:t>Source: DEER</w:t>
            </w:r>
            <w:r w:rsidR="006144FB" w:rsidRPr="00873B7F">
              <w:rPr>
                <w:rFonts w:ascii="Arial" w:hAnsi="Arial" w:cs="Arial"/>
                <w:sz w:val="20"/>
                <w:szCs w:val="20"/>
              </w:rPr>
              <w:t xml:space="preserve"> 201</w:t>
            </w:r>
            <w:r w:rsidR="005D698C" w:rsidRPr="00873B7F">
              <w:rPr>
                <w:rFonts w:ascii="Arial" w:hAnsi="Arial" w:cs="Arial"/>
                <w:sz w:val="20"/>
                <w:szCs w:val="20"/>
              </w:rPr>
              <w:t>6</w:t>
            </w:r>
          </w:p>
        </w:tc>
      </w:tr>
      <w:tr w:rsidR="00735CF0" w:rsidRPr="00E0642C" w14:paraId="31B6E232" w14:textId="77777777" w:rsidTr="00873B7F">
        <w:trPr>
          <w:trHeight w:val="465"/>
        </w:trPr>
        <w:tc>
          <w:tcPr>
            <w:tcW w:w="3348" w:type="dxa"/>
            <w:shd w:val="clear" w:color="auto" w:fill="FFFFFF"/>
          </w:tcPr>
          <w:p w14:paraId="0A120556" w14:textId="77777777" w:rsidR="00735CF0" w:rsidRPr="00E0642C" w:rsidRDefault="00735CF0" w:rsidP="0028709C">
            <w:pPr>
              <w:rPr>
                <w:rFonts w:ascii="Arial" w:hAnsi="Arial" w:cs="Arial"/>
                <w:b/>
                <w:sz w:val="20"/>
                <w:szCs w:val="20"/>
              </w:rPr>
            </w:pPr>
            <w:r w:rsidRPr="00E0642C">
              <w:rPr>
                <w:rFonts w:ascii="Arial" w:hAnsi="Arial" w:cs="Arial"/>
                <w:b/>
                <w:sz w:val="20"/>
                <w:szCs w:val="20"/>
              </w:rPr>
              <w:t>Program Type:</w:t>
            </w:r>
          </w:p>
        </w:tc>
        <w:tc>
          <w:tcPr>
            <w:tcW w:w="6300" w:type="dxa"/>
            <w:shd w:val="clear" w:color="auto" w:fill="FFFFFF"/>
          </w:tcPr>
          <w:p w14:paraId="70636F6F" w14:textId="6727FC57" w:rsidR="00735CF0" w:rsidRPr="00873B7F" w:rsidRDefault="00EF35A8" w:rsidP="00EF35A8">
            <w:pPr>
              <w:rPr>
                <w:rFonts w:ascii="Arial" w:hAnsi="Arial" w:cs="Arial"/>
                <w:bCs/>
                <w:sz w:val="20"/>
                <w:szCs w:val="20"/>
              </w:rPr>
            </w:pPr>
            <w:r w:rsidRPr="00873B7F">
              <w:rPr>
                <w:rFonts w:ascii="Arial" w:hAnsi="Arial" w:cs="Arial"/>
                <w:bCs/>
                <w:sz w:val="20"/>
                <w:szCs w:val="20"/>
              </w:rPr>
              <w:t xml:space="preserve"> Normal Replacement</w:t>
            </w:r>
          </w:p>
        </w:tc>
      </w:tr>
      <w:tr w:rsidR="00735CF0" w:rsidRPr="00E0642C" w14:paraId="450F55EA" w14:textId="77777777" w:rsidTr="00873B7F">
        <w:trPr>
          <w:trHeight w:val="612"/>
        </w:trPr>
        <w:tc>
          <w:tcPr>
            <w:tcW w:w="3348" w:type="dxa"/>
            <w:shd w:val="clear" w:color="auto" w:fill="FFFFFF"/>
          </w:tcPr>
          <w:p w14:paraId="50106F28" w14:textId="77777777" w:rsidR="00735CF0" w:rsidRPr="00E0642C" w:rsidRDefault="00735CF0" w:rsidP="0028709C">
            <w:pPr>
              <w:rPr>
                <w:rFonts w:ascii="Arial" w:hAnsi="Arial" w:cs="Arial"/>
                <w:b/>
                <w:sz w:val="20"/>
                <w:szCs w:val="20"/>
              </w:rPr>
            </w:pPr>
            <w:r w:rsidRPr="00E0642C">
              <w:rPr>
                <w:rFonts w:ascii="Arial" w:hAnsi="Arial" w:cs="Arial"/>
                <w:b/>
                <w:sz w:val="20"/>
                <w:szCs w:val="20"/>
              </w:rPr>
              <w:t xml:space="preserve">Net-to-Gross Ratios: </w:t>
            </w:r>
          </w:p>
        </w:tc>
        <w:tc>
          <w:tcPr>
            <w:tcW w:w="6300" w:type="dxa"/>
            <w:shd w:val="clear" w:color="auto" w:fill="FFFFFF"/>
          </w:tcPr>
          <w:p w14:paraId="4F2FEB81" w14:textId="48595279" w:rsidR="00735CF0" w:rsidRPr="00873B7F" w:rsidRDefault="00B5281B">
            <w:pPr>
              <w:rPr>
                <w:rFonts w:ascii="Arial" w:hAnsi="Arial" w:cs="Arial"/>
                <w:sz w:val="20"/>
                <w:szCs w:val="20"/>
              </w:rPr>
            </w:pPr>
            <w:r w:rsidRPr="00873B7F">
              <w:rPr>
                <w:rFonts w:ascii="Arial" w:hAnsi="Arial" w:cs="Arial"/>
                <w:sz w:val="20"/>
                <w:szCs w:val="20"/>
              </w:rPr>
              <w:t xml:space="preserve">NTG = 0.91 </w:t>
            </w:r>
            <w:r w:rsidR="605C060B" w:rsidRPr="00873B7F">
              <w:rPr>
                <w:rFonts w:ascii="Arial" w:hAnsi="Arial" w:cs="Arial"/>
                <w:sz w:val="20"/>
                <w:szCs w:val="20"/>
              </w:rPr>
              <w:t>per Deer 2019</w:t>
            </w:r>
            <w:r w:rsidR="00EF35A8" w:rsidRPr="00873B7F">
              <w:rPr>
                <w:rFonts w:ascii="Arial" w:hAnsi="Arial" w:cs="Arial"/>
                <w:sz w:val="20"/>
                <w:szCs w:val="20"/>
              </w:rPr>
              <w:t xml:space="preserve"> </w:t>
            </w:r>
          </w:p>
          <w:p w14:paraId="0C3414D1" w14:textId="25BDBB3C" w:rsidR="00735CF0" w:rsidRPr="00873B7F" w:rsidRDefault="6DABEC87">
            <w:pPr>
              <w:rPr>
                <w:rFonts w:ascii="Arial" w:hAnsi="Arial" w:cs="Arial"/>
                <w:sz w:val="20"/>
                <w:szCs w:val="20"/>
              </w:rPr>
            </w:pPr>
            <w:r w:rsidRPr="00873B7F">
              <w:rPr>
                <w:rFonts w:ascii="Arial" w:hAnsi="Arial" w:cs="Arial"/>
                <w:sz w:val="20"/>
                <w:szCs w:val="20"/>
              </w:rPr>
              <w:t xml:space="preserve">NTG ID: </w:t>
            </w:r>
            <w:proofErr w:type="spellStart"/>
            <w:r w:rsidRPr="00873B7F">
              <w:rPr>
                <w:rFonts w:ascii="Arial" w:eastAsia="Arial" w:hAnsi="Arial" w:cs="Arial"/>
                <w:sz w:val="20"/>
                <w:szCs w:val="20"/>
              </w:rPr>
              <w:t>NonRes</w:t>
            </w:r>
            <w:proofErr w:type="spellEnd"/>
            <w:r w:rsidRPr="00873B7F">
              <w:rPr>
                <w:rFonts w:ascii="Arial" w:eastAsia="Arial" w:hAnsi="Arial" w:cs="Arial"/>
                <w:sz w:val="20"/>
                <w:szCs w:val="20"/>
              </w:rPr>
              <w:t>-In-</w:t>
            </w:r>
            <w:proofErr w:type="spellStart"/>
            <w:r w:rsidRPr="00873B7F">
              <w:rPr>
                <w:rFonts w:ascii="Arial" w:eastAsia="Arial" w:hAnsi="Arial" w:cs="Arial"/>
                <w:sz w:val="20"/>
                <w:szCs w:val="20"/>
              </w:rPr>
              <w:t>Ltg</w:t>
            </w:r>
            <w:proofErr w:type="spellEnd"/>
            <w:r w:rsidRPr="00873B7F">
              <w:rPr>
                <w:rFonts w:ascii="Arial" w:eastAsia="Arial" w:hAnsi="Arial" w:cs="Arial"/>
                <w:sz w:val="20"/>
                <w:szCs w:val="20"/>
              </w:rPr>
              <w:t>-</w:t>
            </w:r>
            <w:proofErr w:type="spellStart"/>
            <w:r w:rsidRPr="00873B7F">
              <w:rPr>
                <w:rFonts w:ascii="Arial" w:eastAsia="Arial" w:hAnsi="Arial" w:cs="Arial"/>
                <w:sz w:val="20"/>
                <w:szCs w:val="20"/>
              </w:rPr>
              <w:t>LEDFixt</w:t>
            </w:r>
            <w:proofErr w:type="spellEnd"/>
          </w:p>
        </w:tc>
      </w:tr>
      <w:tr w:rsidR="00735CF0" w:rsidRPr="00E0642C" w14:paraId="1B7F747A" w14:textId="77777777" w:rsidTr="00873B7F">
        <w:trPr>
          <w:trHeight w:val="465"/>
        </w:trPr>
        <w:tc>
          <w:tcPr>
            <w:tcW w:w="3348" w:type="dxa"/>
            <w:shd w:val="clear" w:color="auto" w:fill="FFFFFF"/>
          </w:tcPr>
          <w:p w14:paraId="785FD07D" w14:textId="77777777" w:rsidR="00735CF0" w:rsidRPr="00E0642C" w:rsidRDefault="00735CF0" w:rsidP="0028709C">
            <w:pPr>
              <w:rPr>
                <w:rFonts w:ascii="Arial" w:hAnsi="Arial" w:cs="Arial"/>
                <w:b/>
                <w:sz w:val="20"/>
                <w:szCs w:val="20"/>
              </w:rPr>
            </w:pPr>
            <w:r w:rsidRPr="00E0642C">
              <w:rPr>
                <w:rFonts w:ascii="Arial" w:hAnsi="Arial" w:cs="Arial"/>
                <w:b/>
                <w:sz w:val="20"/>
                <w:szCs w:val="20"/>
              </w:rPr>
              <w:t>Important Comments:</w:t>
            </w:r>
          </w:p>
        </w:tc>
        <w:tc>
          <w:tcPr>
            <w:tcW w:w="6300" w:type="dxa"/>
            <w:shd w:val="clear" w:color="auto" w:fill="FFFFFF"/>
          </w:tcPr>
          <w:p w14:paraId="0ECE4D7D" w14:textId="4DED6A40" w:rsidR="00735CF0" w:rsidRPr="00E37086" w:rsidRDefault="6E13A220">
            <w:pPr>
              <w:rPr>
                <w:rFonts w:ascii="Arial" w:hAnsi="Arial" w:cs="Arial"/>
                <w:sz w:val="20"/>
                <w:szCs w:val="20"/>
              </w:rPr>
            </w:pPr>
            <w:r w:rsidRPr="00E37086">
              <w:rPr>
                <w:rFonts w:ascii="Arial" w:hAnsi="Arial" w:cs="Arial"/>
                <w:color w:val="0070C0"/>
                <w:sz w:val="20"/>
                <w:szCs w:val="20"/>
              </w:rPr>
              <w:t>In the ED Report (Excel spreadsheet) the MAT is showing ROB because PG&amp;E’s system is still in the process of adopting the new MATs. PG&amp;E will revise ROB to NR at a later time when the system is ready.</w:t>
            </w:r>
          </w:p>
        </w:tc>
      </w:tr>
    </w:tbl>
    <w:p w14:paraId="03A42B6A" w14:textId="77777777" w:rsidR="005F19E0" w:rsidRPr="005F19E0" w:rsidRDefault="006F0139" w:rsidP="0006490F">
      <w:pPr>
        <w:rPr>
          <w:rFonts w:ascii="Arial" w:hAnsi="Arial" w:cs="Arial"/>
          <w:b/>
          <w:color w:val="FF0000"/>
          <w:sz w:val="20"/>
          <w:szCs w:val="20"/>
        </w:rPr>
        <w:sectPr w:rsidR="005F19E0" w:rsidRPr="005F19E0" w:rsidSect="00081DFB">
          <w:headerReference w:type="default" r:id="rId12"/>
          <w:footerReference w:type="even" r:id="rId13"/>
          <w:footerReference w:type="default" r:id="rId14"/>
          <w:footerReference w:type="first" r:id="rId15"/>
          <w:endnotePr>
            <w:numFmt w:val="decimal"/>
          </w:endnotePr>
          <w:pgSz w:w="12240" w:h="15840"/>
          <w:pgMar w:top="1440" w:right="1440" w:bottom="1440" w:left="1440" w:header="720" w:footer="720" w:gutter="0"/>
          <w:pgNumType w:fmt="lowerRoman"/>
          <w:cols w:space="720"/>
          <w:titlePg/>
          <w:docGrid w:linePitch="360"/>
        </w:sectPr>
      </w:pPr>
      <w:r w:rsidRPr="006F0139">
        <w:rPr>
          <w:rFonts w:ascii="Arial" w:hAnsi="Arial" w:cs="Arial"/>
          <w:b/>
          <w:i/>
          <w:color w:val="FF0000"/>
          <w:sz w:val="20"/>
          <w:szCs w:val="20"/>
          <w:highlight w:val="cyan"/>
        </w:rPr>
        <w:t xml:space="preserve"> </w:t>
      </w:r>
    </w:p>
    <w:p w14:paraId="4C2232BC" w14:textId="77777777" w:rsidR="00E71EF1" w:rsidRDefault="00E71EF1" w:rsidP="00E71EF1">
      <w:pPr>
        <w:pStyle w:val="Heading1"/>
      </w:pPr>
      <w:bookmarkStart w:id="5" w:name="_Toc511038022"/>
      <w:bookmarkStart w:id="6" w:name="_Toc2804895"/>
      <w:r>
        <w:lastRenderedPageBreak/>
        <w:t>Document Revision History</w:t>
      </w:r>
      <w:bookmarkEnd w:id="5"/>
      <w:bookmarkEnd w:id="6"/>
    </w:p>
    <w:p w14:paraId="57013D19" w14:textId="77777777" w:rsidR="00E91C15" w:rsidRDefault="004203DD" w:rsidP="001A573F">
      <w:r>
        <w:t xml:space="preserve"> </w:t>
      </w:r>
      <w:r w:rsidR="00E91C15">
        <w:tab/>
      </w:r>
      <w:r w:rsidR="00E91C15">
        <w:tab/>
      </w:r>
      <w:r w:rsidR="00E91C15">
        <w:tab/>
      </w:r>
      <w:r w:rsidR="00E91C15">
        <w:tab/>
      </w:r>
      <w:r>
        <w:t xml:space="preserve"> </w:t>
      </w:r>
      <w:r w:rsidR="00E91C15">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2"/>
        <w:gridCol w:w="1217"/>
        <w:gridCol w:w="4290"/>
        <w:gridCol w:w="2737"/>
      </w:tblGrid>
      <w:tr w:rsidR="000374A5" w:rsidRPr="00E0642C" w14:paraId="50B47039" w14:textId="77777777" w:rsidTr="00127B4E">
        <w:trPr>
          <w:trHeight w:val="466"/>
        </w:trPr>
        <w:tc>
          <w:tcPr>
            <w:tcW w:w="695" w:type="pct"/>
            <w:shd w:val="clear" w:color="auto" w:fill="BFBFBF"/>
          </w:tcPr>
          <w:p w14:paraId="6591CA03" w14:textId="77777777" w:rsidR="000374A5" w:rsidRPr="00E0642C" w:rsidRDefault="000374A5" w:rsidP="00AB1CB6">
            <w:pPr>
              <w:rPr>
                <w:rFonts w:ascii="Arial" w:hAnsi="Arial" w:cs="Arial"/>
                <w:b/>
                <w:bCs/>
                <w:sz w:val="20"/>
                <w:szCs w:val="20"/>
              </w:rPr>
            </w:pPr>
            <w:r w:rsidRPr="00E0642C">
              <w:rPr>
                <w:rFonts w:ascii="Arial" w:hAnsi="Arial" w:cs="Arial"/>
                <w:b/>
                <w:sz w:val="20"/>
                <w:szCs w:val="20"/>
              </w:rPr>
              <w:t>Revision #</w:t>
            </w:r>
            <w:r w:rsidRPr="00E0642C">
              <w:rPr>
                <w:rFonts w:ascii="Arial" w:hAnsi="Arial" w:cs="Arial"/>
                <w:b/>
                <w:sz w:val="20"/>
                <w:szCs w:val="20"/>
              </w:rPr>
              <w:tab/>
            </w:r>
          </w:p>
        </w:tc>
        <w:tc>
          <w:tcPr>
            <w:tcW w:w="635" w:type="pct"/>
            <w:shd w:val="clear" w:color="auto" w:fill="BFBFBF"/>
          </w:tcPr>
          <w:p w14:paraId="24FFBE71" w14:textId="77777777" w:rsidR="000374A5" w:rsidRPr="00E0642C" w:rsidRDefault="000374A5" w:rsidP="00AB1CB6">
            <w:pPr>
              <w:rPr>
                <w:rFonts w:ascii="Arial" w:hAnsi="Arial" w:cs="Arial"/>
                <w:b/>
                <w:bCs/>
                <w:sz w:val="20"/>
                <w:szCs w:val="20"/>
              </w:rPr>
            </w:pPr>
            <w:r w:rsidRPr="00E0642C">
              <w:rPr>
                <w:rFonts w:ascii="Arial" w:hAnsi="Arial" w:cs="Arial"/>
                <w:b/>
                <w:sz w:val="20"/>
                <w:szCs w:val="20"/>
              </w:rPr>
              <w:t xml:space="preserve">Date </w:t>
            </w:r>
            <w:r w:rsidRPr="00E0642C">
              <w:rPr>
                <w:rFonts w:ascii="Arial" w:hAnsi="Arial" w:cs="Arial"/>
                <w:b/>
                <w:sz w:val="20"/>
                <w:szCs w:val="20"/>
              </w:rPr>
              <w:tab/>
            </w:r>
          </w:p>
        </w:tc>
        <w:tc>
          <w:tcPr>
            <w:tcW w:w="2240" w:type="pct"/>
            <w:shd w:val="clear" w:color="auto" w:fill="BFBFBF"/>
          </w:tcPr>
          <w:p w14:paraId="0239B75E" w14:textId="77777777" w:rsidR="000374A5" w:rsidRPr="00E0642C" w:rsidRDefault="000374A5" w:rsidP="00AB1CB6">
            <w:pPr>
              <w:rPr>
                <w:rFonts w:ascii="Arial" w:hAnsi="Arial" w:cs="Arial"/>
                <w:b/>
                <w:bCs/>
                <w:sz w:val="20"/>
                <w:szCs w:val="20"/>
              </w:rPr>
            </w:pPr>
            <w:r w:rsidRPr="00E0642C">
              <w:rPr>
                <w:rFonts w:ascii="Arial" w:hAnsi="Arial" w:cs="Arial"/>
                <w:b/>
                <w:sz w:val="20"/>
                <w:szCs w:val="20"/>
              </w:rPr>
              <w:t>Section by Section Description of Revisions</w:t>
            </w:r>
          </w:p>
        </w:tc>
        <w:tc>
          <w:tcPr>
            <w:tcW w:w="1429" w:type="pct"/>
            <w:shd w:val="clear" w:color="auto" w:fill="BFBFBF"/>
          </w:tcPr>
          <w:p w14:paraId="7B3C3B1B" w14:textId="77777777" w:rsidR="000374A5" w:rsidRPr="00E0642C" w:rsidRDefault="000374A5" w:rsidP="00AB1CB6">
            <w:pPr>
              <w:rPr>
                <w:rFonts w:ascii="Arial" w:hAnsi="Arial" w:cs="Arial"/>
                <w:b/>
                <w:bCs/>
                <w:sz w:val="20"/>
                <w:szCs w:val="20"/>
              </w:rPr>
            </w:pPr>
            <w:r w:rsidRPr="00E0642C">
              <w:rPr>
                <w:rFonts w:ascii="Arial" w:hAnsi="Arial" w:cs="Arial"/>
                <w:b/>
                <w:sz w:val="20"/>
                <w:szCs w:val="20"/>
              </w:rPr>
              <w:t>Author (Company)</w:t>
            </w:r>
          </w:p>
        </w:tc>
      </w:tr>
      <w:tr w:rsidR="0068419D" w:rsidRPr="00E0642C" w14:paraId="08455C26" w14:textId="77777777" w:rsidTr="00127B4E">
        <w:trPr>
          <w:trHeight w:val="466"/>
        </w:trPr>
        <w:tc>
          <w:tcPr>
            <w:tcW w:w="695" w:type="pct"/>
            <w:shd w:val="clear" w:color="auto" w:fill="auto"/>
          </w:tcPr>
          <w:p w14:paraId="35421D63" w14:textId="77777777" w:rsidR="0068419D" w:rsidRPr="00E0642C" w:rsidRDefault="0068419D" w:rsidP="008948E0">
            <w:pPr>
              <w:rPr>
                <w:rFonts w:ascii="Arial" w:hAnsi="Arial" w:cs="Arial"/>
                <w:bCs/>
                <w:sz w:val="20"/>
                <w:szCs w:val="20"/>
              </w:rPr>
            </w:pPr>
            <w:r w:rsidRPr="00E0642C">
              <w:rPr>
                <w:rFonts w:ascii="Arial" w:hAnsi="Arial" w:cs="Arial"/>
                <w:bCs/>
                <w:sz w:val="20"/>
                <w:szCs w:val="20"/>
              </w:rPr>
              <w:t>Revision 0</w:t>
            </w:r>
          </w:p>
        </w:tc>
        <w:tc>
          <w:tcPr>
            <w:tcW w:w="635" w:type="pct"/>
            <w:shd w:val="clear" w:color="auto" w:fill="auto"/>
          </w:tcPr>
          <w:p w14:paraId="446E4145" w14:textId="77777777" w:rsidR="0068419D" w:rsidRPr="00E0642C" w:rsidRDefault="00531AF8" w:rsidP="00946A66">
            <w:pPr>
              <w:rPr>
                <w:rFonts w:ascii="Arial" w:hAnsi="Arial" w:cs="Arial"/>
                <w:bCs/>
                <w:sz w:val="20"/>
                <w:szCs w:val="20"/>
              </w:rPr>
            </w:pPr>
            <w:r w:rsidRPr="00E0642C">
              <w:rPr>
                <w:rFonts w:ascii="Arial" w:hAnsi="Arial" w:cs="Arial"/>
                <w:bCs/>
                <w:sz w:val="20"/>
                <w:szCs w:val="20"/>
              </w:rPr>
              <w:t>11/4/2013</w:t>
            </w:r>
          </w:p>
        </w:tc>
        <w:tc>
          <w:tcPr>
            <w:tcW w:w="2240" w:type="pct"/>
            <w:shd w:val="clear" w:color="auto" w:fill="auto"/>
          </w:tcPr>
          <w:p w14:paraId="54CAD9E5" w14:textId="77777777" w:rsidR="0068419D" w:rsidRPr="00E0642C" w:rsidRDefault="00DB2CE5" w:rsidP="00DF163F">
            <w:pPr>
              <w:rPr>
                <w:rFonts w:ascii="Arial" w:hAnsi="Arial" w:cs="Arial"/>
                <w:sz w:val="20"/>
                <w:szCs w:val="20"/>
              </w:rPr>
            </w:pPr>
            <w:r w:rsidRPr="00E0642C">
              <w:rPr>
                <w:rFonts w:ascii="Arial" w:hAnsi="Arial" w:cs="Arial"/>
                <w:b/>
                <w:sz w:val="20"/>
                <w:szCs w:val="20"/>
              </w:rPr>
              <w:t>PGECOLTG</w:t>
            </w:r>
            <w:r w:rsidR="009D01D1" w:rsidRPr="00E0642C">
              <w:rPr>
                <w:rFonts w:ascii="Arial" w:hAnsi="Arial" w:cs="Arial"/>
                <w:b/>
                <w:sz w:val="20"/>
                <w:szCs w:val="20"/>
              </w:rPr>
              <w:t>178</w:t>
            </w:r>
            <w:r w:rsidR="0068419D" w:rsidRPr="00E0642C">
              <w:rPr>
                <w:rFonts w:ascii="Arial" w:hAnsi="Arial" w:cs="Arial"/>
                <w:b/>
                <w:sz w:val="20"/>
                <w:szCs w:val="20"/>
              </w:rPr>
              <w:t xml:space="preserve"> R0</w:t>
            </w:r>
            <w:r w:rsidR="0068419D" w:rsidRPr="00E0642C">
              <w:rPr>
                <w:rFonts w:ascii="Arial" w:hAnsi="Arial" w:cs="Arial"/>
                <w:sz w:val="20"/>
                <w:szCs w:val="20"/>
              </w:rPr>
              <w:t xml:space="preserve"> LED</w:t>
            </w:r>
            <w:r w:rsidR="00946A66" w:rsidRPr="00E0642C">
              <w:rPr>
                <w:rFonts w:ascii="Arial" w:hAnsi="Arial" w:cs="Arial"/>
                <w:sz w:val="20"/>
                <w:szCs w:val="20"/>
              </w:rPr>
              <w:t xml:space="preserve"> </w:t>
            </w:r>
            <w:r w:rsidR="00531AF8" w:rsidRPr="00E0642C">
              <w:rPr>
                <w:rFonts w:ascii="Arial" w:hAnsi="Arial" w:cs="Arial"/>
                <w:sz w:val="20"/>
                <w:szCs w:val="20"/>
              </w:rPr>
              <w:t>High-Bay and Low-Bay Fixtures</w:t>
            </w:r>
            <w:r w:rsidR="0068419D" w:rsidRPr="00E0642C">
              <w:rPr>
                <w:rFonts w:ascii="Arial" w:hAnsi="Arial" w:cs="Arial"/>
                <w:sz w:val="20"/>
                <w:szCs w:val="20"/>
              </w:rPr>
              <w:t>.doc</w:t>
            </w:r>
          </w:p>
          <w:p w14:paraId="0515FA44" w14:textId="77777777" w:rsidR="0068419D" w:rsidRPr="00E0642C" w:rsidRDefault="00D3706F" w:rsidP="00DF163F">
            <w:pPr>
              <w:rPr>
                <w:rFonts w:ascii="Arial" w:hAnsi="Arial" w:cs="Arial"/>
                <w:sz w:val="20"/>
                <w:szCs w:val="20"/>
              </w:rPr>
            </w:pPr>
            <w:r w:rsidRPr="00E0642C">
              <w:rPr>
                <w:rFonts w:ascii="Arial" w:hAnsi="Arial" w:cs="Arial"/>
                <w:sz w:val="20"/>
                <w:szCs w:val="20"/>
              </w:rPr>
              <w:t>Original Workpaper</w:t>
            </w:r>
          </w:p>
        </w:tc>
        <w:tc>
          <w:tcPr>
            <w:tcW w:w="1429" w:type="pct"/>
            <w:shd w:val="clear" w:color="auto" w:fill="auto"/>
          </w:tcPr>
          <w:p w14:paraId="372EAE89" w14:textId="77777777" w:rsidR="00032F1B" w:rsidRPr="00E0642C" w:rsidRDefault="00032F1B" w:rsidP="008948E0">
            <w:pPr>
              <w:rPr>
                <w:rFonts w:ascii="Arial" w:hAnsi="Arial" w:cs="Arial"/>
                <w:bCs/>
                <w:sz w:val="20"/>
                <w:szCs w:val="20"/>
              </w:rPr>
            </w:pPr>
            <w:r w:rsidRPr="00E0642C">
              <w:rPr>
                <w:rFonts w:ascii="Arial" w:hAnsi="Arial" w:cs="Arial"/>
                <w:bCs/>
                <w:sz w:val="20"/>
                <w:szCs w:val="20"/>
              </w:rPr>
              <w:t>Author: Greg Barker (Energy Solutions)</w:t>
            </w:r>
          </w:p>
          <w:p w14:paraId="14EAA194" w14:textId="77777777" w:rsidR="0068419D" w:rsidRPr="00E0642C" w:rsidRDefault="00032F1B" w:rsidP="008948E0">
            <w:pPr>
              <w:rPr>
                <w:rFonts w:ascii="Arial" w:hAnsi="Arial" w:cs="Arial"/>
                <w:bCs/>
                <w:sz w:val="20"/>
                <w:szCs w:val="20"/>
              </w:rPr>
            </w:pPr>
            <w:r w:rsidRPr="00E0642C">
              <w:rPr>
                <w:rFonts w:ascii="Arial" w:hAnsi="Arial" w:cs="Arial"/>
                <w:bCs/>
                <w:sz w:val="20"/>
                <w:szCs w:val="20"/>
              </w:rPr>
              <w:t xml:space="preserve">Reviewer: </w:t>
            </w:r>
            <w:r w:rsidR="0068419D" w:rsidRPr="00E0642C">
              <w:rPr>
                <w:rFonts w:ascii="Arial" w:hAnsi="Arial" w:cs="Arial"/>
                <w:bCs/>
                <w:sz w:val="20"/>
                <w:szCs w:val="20"/>
              </w:rPr>
              <w:t xml:space="preserve">Alina Zohrabian (PG&amp;E) </w:t>
            </w:r>
          </w:p>
        </w:tc>
      </w:tr>
      <w:tr w:rsidR="0000411D" w:rsidRPr="00E0642C" w14:paraId="40D46430" w14:textId="77777777" w:rsidTr="00127B4E">
        <w:trPr>
          <w:trHeight w:val="466"/>
        </w:trPr>
        <w:tc>
          <w:tcPr>
            <w:tcW w:w="695" w:type="pct"/>
            <w:shd w:val="clear" w:color="auto" w:fill="auto"/>
          </w:tcPr>
          <w:p w14:paraId="67ECC5D0" w14:textId="77777777" w:rsidR="0000411D" w:rsidRPr="00E0642C" w:rsidRDefault="0000411D" w:rsidP="005C7190">
            <w:pPr>
              <w:rPr>
                <w:rFonts w:ascii="Arial" w:hAnsi="Arial" w:cs="Arial"/>
                <w:bCs/>
                <w:sz w:val="20"/>
                <w:szCs w:val="20"/>
              </w:rPr>
            </w:pPr>
            <w:r w:rsidRPr="00E0642C">
              <w:rPr>
                <w:rFonts w:ascii="Arial" w:hAnsi="Arial" w:cs="Arial"/>
                <w:bCs/>
                <w:sz w:val="20"/>
                <w:szCs w:val="20"/>
              </w:rPr>
              <w:t>Revision 1</w:t>
            </w:r>
          </w:p>
        </w:tc>
        <w:tc>
          <w:tcPr>
            <w:tcW w:w="635" w:type="pct"/>
            <w:shd w:val="clear" w:color="auto" w:fill="auto"/>
          </w:tcPr>
          <w:p w14:paraId="016DBC9E" w14:textId="77777777" w:rsidR="0000411D" w:rsidRPr="00E0642C" w:rsidRDefault="0000411D" w:rsidP="005C7190">
            <w:pPr>
              <w:rPr>
                <w:rFonts w:ascii="Arial" w:hAnsi="Arial" w:cs="Arial"/>
                <w:bCs/>
                <w:sz w:val="20"/>
                <w:szCs w:val="20"/>
              </w:rPr>
            </w:pPr>
            <w:r w:rsidRPr="00E0642C">
              <w:rPr>
                <w:rFonts w:ascii="Arial" w:hAnsi="Arial" w:cs="Arial"/>
                <w:bCs/>
                <w:sz w:val="20"/>
                <w:szCs w:val="20"/>
              </w:rPr>
              <w:t>5/27/14</w:t>
            </w:r>
          </w:p>
        </w:tc>
        <w:tc>
          <w:tcPr>
            <w:tcW w:w="2240" w:type="pct"/>
            <w:shd w:val="clear" w:color="auto" w:fill="auto"/>
          </w:tcPr>
          <w:p w14:paraId="69E9BD22" w14:textId="77777777" w:rsidR="0000411D" w:rsidRPr="00E0642C" w:rsidRDefault="0000411D" w:rsidP="005C7190">
            <w:pPr>
              <w:rPr>
                <w:rFonts w:ascii="Arial" w:hAnsi="Arial" w:cs="Arial"/>
                <w:sz w:val="20"/>
                <w:szCs w:val="20"/>
              </w:rPr>
            </w:pPr>
            <w:r w:rsidRPr="00E0642C">
              <w:rPr>
                <w:rFonts w:ascii="Arial" w:hAnsi="Arial" w:cs="Arial"/>
                <w:b/>
                <w:sz w:val="20"/>
                <w:szCs w:val="20"/>
              </w:rPr>
              <w:t xml:space="preserve">PGECOLTG178 R1 </w:t>
            </w:r>
            <w:r w:rsidRPr="00E0642C">
              <w:rPr>
                <w:rFonts w:ascii="Arial" w:hAnsi="Arial" w:cs="Arial"/>
                <w:sz w:val="20"/>
                <w:szCs w:val="20"/>
              </w:rPr>
              <w:t>LED High-Bay and Low-Bay Fixtures.doc</w:t>
            </w:r>
          </w:p>
          <w:p w14:paraId="4709A2FC" w14:textId="77777777" w:rsidR="0000411D" w:rsidRPr="00E0642C" w:rsidRDefault="0000411D" w:rsidP="0000411D">
            <w:pPr>
              <w:rPr>
                <w:rFonts w:ascii="Arial" w:hAnsi="Arial" w:cs="Arial"/>
                <w:sz w:val="20"/>
                <w:szCs w:val="20"/>
              </w:rPr>
            </w:pPr>
            <w:r w:rsidRPr="00E0642C">
              <w:rPr>
                <w:rFonts w:ascii="Arial" w:hAnsi="Arial" w:cs="Arial"/>
                <w:bCs/>
                <w:sz w:val="20"/>
                <w:szCs w:val="20"/>
              </w:rPr>
              <w:t>Added DI values from (PGE3PLTG192-R0) and Applied new hours of operation and IE factors. For updated savings values, see file PGECOLTG178 R1.xlsx</w:t>
            </w:r>
          </w:p>
        </w:tc>
        <w:tc>
          <w:tcPr>
            <w:tcW w:w="1429" w:type="pct"/>
            <w:shd w:val="clear" w:color="auto" w:fill="auto"/>
          </w:tcPr>
          <w:p w14:paraId="57BE767C" w14:textId="77777777" w:rsidR="0000411D" w:rsidRPr="00E0642C" w:rsidRDefault="0000411D" w:rsidP="005C7190">
            <w:pPr>
              <w:rPr>
                <w:rFonts w:ascii="Arial" w:hAnsi="Arial" w:cs="Arial"/>
                <w:bCs/>
                <w:sz w:val="20"/>
                <w:szCs w:val="20"/>
              </w:rPr>
            </w:pPr>
            <w:r w:rsidRPr="00E0642C">
              <w:rPr>
                <w:rFonts w:ascii="Arial" w:hAnsi="Arial" w:cs="Arial"/>
                <w:bCs/>
                <w:sz w:val="20"/>
                <w:szCs w:val="20"/>
              </w:rPr>
              <w:t xml:space="preserve">Alina Zohrabian (PG&amp;E) </w:t>
            </w:r>
          </w:p>
        </w:tc>
      </w:tr>
      <w:tr w:rsidR="00081DFB" w:rsidRPr="00E0642C" w14:paraId="082C6FE6" w14:textId="77777777" w:rsidTr="00127B4E">
        <w:trPr>
          <w:trHeight w:val="466"/>
        </w:trPr>
        <w:tc>
          <w:tcPr>
            <w:tcW w:w="695" w:type="pct"/>
            <w:shd w:val="clear" w:color="auto" w:fill="auto"/>
          </w:tcPr>
          <w:p w14:paraId="2F1469EB" w14:textId="77777777" w:rsidR="00081DFB" w:rsidRPr="00E0642C" w:rsidRDefault="00081DFB" w:rsidP="005C7190">
            <w:pPr>
              <w:rPr>
                <w:rFonts w:ascii="Arial" w:hAnsi="Arial" w:cs="Arial"/>
                <w:bCs/>
                <w:sz w:val="20"/>
                <w:szCs w:val="20"/>
              </w:rPr>
            </w:pPr>
            <w:r w:rsidRPr="00E0642C">
              <w:rPr>
                <w:rFonts w:ascii="Arial" w:hAnsi="Arial" w:cs="Arial"/>
                <w:bCs/>
                <w:sz w:val="20"/>
                <w:szCs w:val="20"/>
              </w:rPr>
              <w:t>Revision 2</w:t>
            </w:r>
          </w:p>
        </w:tc>
        <w:tc>
          <w:tcPr>
            <w:tcW w:w="635" w:type="pct"/>
            <w:shd w:val="clear" w:color="auto" w:fill="auto"/>
          </w:tcPr>
          <w:p w14:paraId="3D30261A" w14:textId="77777777" w:rsidR="00081DFB" w:rsidRPr="00E0642C" w:rsidRDefault="00081DFB" w:rsidP="005C7190">
            <w:pPr>
              <w:rPr>
                <w:rFonts w:ascii="Arial" w:hAnsi="Arial" w:cs="Arial"/>
                <w:bCs/>
                <w:sz w:val="20"/>
                <w:szCs w:val="20"/>
              </w:rPr>
            </w:pPr>
            <w:r w:rsidRPr="00E0642C">
              <w:rPr>
                <w:rFonts w:ascii="Arial" w:hAnsi="Arial" w:cs="Arial"/>
                <w:bCs/>
                <w:sz w:val="20"/>
                <w:szCs w:val="20"/>
              </w:rPr>
              <w:t>1/1/2016</w:t>
            </w:r>
          </w:p>
        </w:tc>
        <w:tc>
          <w:tcPr>
            <w:tcW w:w="2240" w:type="pct"/>
            <w:shd w:val="clear" w:color="auto" w:fill="auto"/>
          </w:tcPr>
          <w:p w14:paraId="5BDC0CC7" w14:textId="5B917E6D" w:rsidR="00246884" w:rsidRPr="00E0642C" w:rsidRDefault="00246884" w:rsidP="005C7190">
            <w:pPr>
              <w:rPr>
                <w:rFonts w:ascii="Arial" w:hAnsi="Arial" w:cs="Arial"/>
                <w:sz w:val="20"/>
                <w:szCs w:val="20"/>
              </w:rPr>
            </w:pPr>
            <w:r w:rsidRPr="00E0642C">
              <w:rPr>
                <w:rFonts w:ascii="Arial" w:hAnsi="Arial" w:cs="Arial"/>
                <w:sz w:val="20"/>
                <w:szCs w:val="20"/>
              </w:rPr>
              <w:t>NC was added.</w:t>
            </w:r>
          </w:p>
          <w:p w14:paraId="23E31F36" w14:textId="77777777" w:rsidR="00081DFB" w:rsidRPr="00E0642C" w:rsidRDefault="00081DFB" w:rsidP="005C7190">
            <w:pPr>
              <w:rPr>
                <w:rFonts w:ascii="Arial" w:hAnsi="Arial" w:cs="Arial"/>
                <w:sz w:val="20"/>
                <w:szCs w:val="20"/>
              </w:rPr>
            </w:pPr>
            <w:r w:rsidRPr="00E0642C">
              <w:rPr>
                <w:rFonts w:ascii="Arial" w:hAnsi="Arial" w:cs="Arial"/>
                <w:sz w:val="20"/>
                <w:szCs w:val="20"/>
              </w:rPr>
              <w:t>Updated NTG, EUL,</w:t>
            </w:r>
            <w:r w:rsidR="00A95A8F" w:rsidRPr="00E0642C">
              <w:rPr>
                <w:rFonts w:ascii="Arial" w:hAnsi="Arial" w:cs="Arial"/>
                <w:sz w:val="20"/>
                <w:szCs w:val="20"/>
              </w:rPr>
              <w:t xml:space="preserve"> IE, CDF, </w:t>
            </w:r>
            <w:r w:rsidRPr="00E0642C">
              <w:rPr>
                <w:rFonts w:ascii="Arial" w:hAnsi="Arial" w:cs="Arial"/>
                <w:sz w:val="20"/>
                <w:szCs w:val="20"/>
              </w:rPr>
              <w:t>GSIA, and hours of operation per DEER2016.  Base case and measure costs have also been updated.</w:t>
            </w:r>
          </w:p>
        </w:tc>
        <w:tc>
          <w:tcPr>
            <w:tcW w:w="1429" w:type="pct"/>
            <w:shd w:val="clear" w:color="auto" w:fill="auto"/>
          </w:tcPr>
          <w:p w14:paraId="5B312A31" w14:textId="77777777" w:rsidR="00081DFB" w:rsidRPr="00E0642C" w:rsidRDefault="00081DFB" w:rsidP="005C7190">
            <w:pPr>
              <w:rPr>
                <w:rFonts w:ascii="Arial" w:hAnsi="Arial" w:cs="Arial"/>
                <w:bCs/>
                <w:sz w:val="20"/>
                <w:szCs w:val="20"/>
              </w:rPr>
            </w:pPr>
            <w:r w:rsidRPr="00E0642C">
              <w:rPr>
                <w:rFonts w:ascii="Arial" w:hAnsi="Arial" w:cs="Arial"/>
                <w:bCs/>
                <w:sz w:val="20"/>
                <w:szCs w:val="20"/>
              </w:rPr>
              <w:t>Linda Wan (PG&amp;E)/Alina Zohrabian (PG&amp;E)/Tai Voong (PG&amp;E)</w:t>
            </w:r>
            <w:r w:rsidR="00246884" w:rsidRPr="00E0642C">
              <w:rPr>
                <w:rFonts w:ascii="Arial" w:hAnsi="Arial" w:cs="Arial"/>
                <w:bCs/>
                <w:sz w:val="20"/>
                <w:szCs w:val="20"/>
              </w:rPr>
              <w:t>/Henry</w:t>
            </w:r>
          </w:p>
        </w:tc>
      </w:tr>
      <w:tr w:rsidR="00825E37" w:rsidRPr="00E0642C" w14:paraId="2CEE6283" w14:textId="77777777" w:rsidTr="00127B4E">
        <w:trPr>
          <w:trHeight w:val="466"/>
        </w:trPr>
        <w:tc>
          <w:tcPr>
            <w:tcW w:w="695" w:type="pct"/>
            <w:shd w:val="clear" w:color="auto" w:fill="auto"/>
          </w:tcPr>
          <w:p w14:paraId="1E86289A" w14:textId="77777777" w:rsidR="00825E37" w:rsidRPr="00E0642C" w:rsidRDefault="00B56D9D" w:rsidP="005C7190">
            <w:pPr>
              <w:rPr>
                <w:rFonts w:ascii="Arial" w:hAnsi="Arial" w:cs="Arial"/>
                <w:bCs/>
                <w:sz w:val="20"/>
                <w:szCs w:val="20"/>
              </w:rPr>
            </w:pPr>
            <w:r w:rsidRPr="00E0642C">
              <w:rPr>
                <w:rFonts w:ascii="Arial" w:hAnsi="Arial" w:cs="Arial"/>
                <w:bCs/>
                <w:sz w:val="20"/>
                <w:szCs w:val="20"/>
              </w:rPr>
              <w:t>Revision 3</w:t>
            </w:r>
          </w:p>
          <w:p w14:paraId="2BCD72B8" w14:textId="7324AFE3" w:rsidR="00825E37" w:rsidRPr="00E0642C" w:rsidRDefault="00D4710E" w:rsidP="005C7190">
            <w:pPr>
              <w:rPr>
                <w:rFonts w:ascii="Arial" w:hAnsi="Arial" w:cs="Arial"/>
                <w:bCs/>
                <w:sz w:val="20"/>
                <w:szCs w:val="20"/>
              </w:rPr>
            </w:pPr>
            <w:r w:rsidRPr="00E0642C">
              <w:rPr>
                <w:rFonts w:ascii="Arial" w:hAnsi="Arial" w:cs="Arial"/>
                <w:bCs/>
                <w:sz w:val="20"/>
                <w:szCs w:val="20"/>
              </w:rPr>
              <w:t>(Not Approved)</w:t>
            </w:r>
          </w:p>
        </w:tc>
        <w:tc>
          <w:tcPr>
            <w:tcW w:w="635" w:type="pct"/>
            <w:shd w:val="clear" w:color="auto" w:fill="auto"/>
          </w:tcPr>
          <w:p w14:paraId="03B6BE1C" w14:textId="6D72A5A5" w:rsidR="00825E37" w:rsidRPr="00E0642C" w:rsidRDefault="003A6E80" w:rsidP="005C7190">
            <w:pPr>
              <w:rPr>
                <w:rFonts w:ascii="Arial" w:hAnsi="Arial" w:cs="Arial"/>
                <w:sz w:val="20"/>
                <w:szCs w:val="20"/>
              </w:rPr>
            </w:pPr>
            <w:r w:rsidRPr="00E0642C">
              <w:rPr>
                <w:rFonts w:ascii="Arial" w:hAnsi="Arial" w:cs="Arial"/>
                <w:sz w:val="20"/>
                <w:szCs w:val="20"/>
              </w:rPr>
              <w:t>8/14</w:t>
            </w:r>
            <w:r w:rsidR="00B56D9D" w:rsidRPr="00E0642C">
              <w:rPr>
                <w:rFonts w:ascii="Arial" w:hAnsi="Arial" w:cs="Arial"/>
                <w:sz w:val="20"/>
                <w:szCs w:val="20"/>
              </w:rPr>
              <w:t>/2017</w:t>
            </w:r>
          </w:p>
        </w:tc>
        <w:tc>
          <w:tcPr>
            <w:tcW w:w="2240" w:type="pct"/>
            <w:shd w:val="clear" w:color="auto" w:fill="auto"/>
          </w:tcPr>
          <w:p w14:paraId="418935FF" w14:textId="5BB6D4B3" w:rsidR="008959EB" w:rsidRPr="00E0642C" w:rsidRDefault="008959EB" w:rsidP="005523E4">
            <w:pPr>
              <w:rPr>
                <w:rFonts w:ascii="Arial" w:hAnsi="Arial" w:cs="Arial"/>
                <w:sz w:val="20"/>
                <w:szCs w:val="20"/>
              </w:rPr>
            </w:pPr>
            <w:r w:rsidRPr="00E0642C">
              <w:rPr>
                <w:rFonts w:ascii="Arial" w:hAnsi="Arial" w:cs="Arial"/>
                <w:sz w:val="20"/>
                <w:szCs w:val="20"/>
              </w:rPr>
              <w:t>-Retired measures LD101 to LD113</w:t>
            </w:r>
          </w:p>
          <w:p w14:paraId="64ED40BF" w14:textId="77777777" w:rsidR="0012161A" w:rsidRPr="00E0642C" w:rsidRDefault="00BB4259" w:rsidP="005523E4">
            <w:pPr>
              <w:rPr>
                <w:rFonts w:ascii="Arial" w:hAnsi="Arial" w:cs="Arial"/>
                <w:sz w:val="20"/>
                <w:szCs w:val="20"/>
              </w:rPr>
            </w:pPr>
            <w:r w:rsidRPr="00E0642C">
              <w:rPr>
                <w:rFonts w:ascii="Arial" w:hAnsi="Arial" w:cs="Arial"/>
                <w:sz w:val="20"/>
                <w:szCs w:val="20"/>
              </w:rPr>
              <w:t>-</w:t>
            </w:r>
            <w:r w:rsidR="00B56D9D" w:rsidRPr="00E0642C">
              <w:rPr>
                <w:rFonts w:ascii="Arial" w:hAnsi="Arial" w:cs="Arial"/>
                <w:sz w:val="20"/>
                <w:szCs w:val="20"/>
              </w:rPr>
              <w:t>Updated T</w:t>
            </w:r>
            <w:r w:rsidR="00007BED" w:rsidRPr="00E0642C">
              <w:rPr>
                <w:rFonts w:ascii="Arial" w:hAnsi="Arial" w:cs="Arial"/>
                <w:sz w:val="20"/>
                <w:szCs w:val="20"/>
              </w:rPr>
              <w:t xml:space="preserve">itle </w:t>
            </w:r>
            <w:r w:rsidR="00B56D9D" w:rsidRPr="00E0642C">
              <w:rPr>
                <w:rFonts w:ascii="Arial" w:hAnsi="Arial" w:cs="Arial"/>
                <w:sz w:val="20"/>
                <w:szCs w:val="20"/>
              </w:rPr>
              <w:t>20 Ballast</w:t>
            </w:r>
            <w:r w:rsidRPr="00E0642C">
              <w:rPr>
                <w:rFonts w:ascii="Arial" w:hAnsi="Arial" w:cs="Arial"/>
                <w:sz w:val="20"/>
                <w:szCs w:val="20"/>
              </w:rPr>
              <w:t xml:space="preserve"> </w:t>
            </w:r>
            <w:r w:rsidR="005523E4" w:rsidRPr="00E0642C">
              <w:rPr>
                <w:rFonts w:ascii="Arial" w:hAnsi="Arial" w:cs="Arial"/>
                <w:sz w:val="20"/>
                <w:szCs w:val="20"/>
              </w:rPr>
              <w:t>Efficiency minimums;</w:t>
            </w:r>
          </w:p>
          <w:p w14:paraId="0BEEA9D6" w14:textId="307328CC" w:rsidR="005A7E55" w:rsidRPr="00E0642C" w:rsidRDefault="0012161A" w:rsidP="00A777F4">
            <w:pPr>
              <w:rPr>
                <w:rFonts w:ascii="Arial" w:hAnsi="Arial" w:cs="Arial"/>
                <w:sz w:val="20"/>
                <w:szCs w:val="20"/>
              </w:rPr>
            </w:pPr>
            <w:r w:rsidRPr="00E0642C">
              <w:rPr>
                <w:rFonts w:ascii="Arial" w:hAnsi="Arial" w:cs="Arial"/>
                <w:sz w:val="20"/>
                <w:szCs w:val="20"/>
              </w:rPr>
              <w:t xml:space="preserve"> -</w:t>
            </w:r>
            <w:r w:rsidR="0034023F" w:rsidRPr="00E0642C">
              <w:rPr>
                <w:rFonts w:ascii="Arial" w:hAnsi="Arial" w:cs="Arial"/>
                <w:sz w:val="20"/>
                <w:szCs w:val="20"/>
              </w:rPr>
              <w:t xml:space="preserve">Created </w:t>
            </w:r>
            <w:r w:rsidR="00AB1CB6" w:rsidRPr="00E0642C">
              <w:rPr>
                <w:rFonts w:ascii="Arial" w:hAnsi="Arial" w:cs="Arial"/>
                <w:sz w:val="20"/>
                <w:szCs w:val="20"/>
              </w:rPr>
              <w:t>n</w:t>
            </w:r>
            <w:r w:rsidRPr="00E0642C">
              <w:rPr>
                <w:rFonts w:ascii="Arial" w:hAnsi="Arial" w:cs="Arial"/>
                <w:sz w:val="20"/>
                <w:szCs w:val="20"/>
              </w:rPr>
              <w:t>ew</w:t>
            </w:r>
            <w:r w:rsidR="00BD0AF8" w:rsidRPr="00E0642C">
              <w:rPr>
                <w:rFonts w:ascii="Arial" w:hAnsi="Arial" w:cs="Arial"/>
                <w:sz w:val="20"/>
                <w:szCs w:val="20"/>
              </w:rPr>
              <w:t xml:space="preserve"> measure codes </w:t>
            </w:r>
            <w:r w:rsidR="00D656E2" w:rsidRPr="00E0642C">
              <w:rPr>
                <w:rFonts w:ascii="Arial" w:hAnsi="Arial" w:cs="Arial"/>
                <w:sz w:val="20"/>
                <w:szCs w:val="20"/>
              </w:rPr>
              <w:t>LT105</w:t>
            </w:r>
            <w:r w:rsidR="008959EB" w:rsidRPr="00E0642C">
              <w:rPr>
                <w:rFonts w:ascii="Arial" w:hAnsi="Arial" w:cs="Arial"/>
                <w:sz w:val="20"/>
                <w:szCs w:val="20"/>
              </w:rPr>
              <w:t xml:space="preserve"> to LT120</w:t>
            </w:r>
          </w:p>
          <w:p w14:paraId="717FCAF9" w14:textId="1045B6C4" w:rsidR="00825E37" w:rsidRPr="00E0642C" w:rsidRDefault="005523E4" w:rsidP="00A777F4">
            <w:pPr>
              <w:rPr>
                <w:rFonts w:ascii="Arial" w:hAnsi="Arial" w:cs="Arial"/>
                <w:sz w:val="20"/>
                <w:szCs w:val="20"/>
              </w:rPr>
            </w:pPr>
            <w:r w:rsidRPr="00E0642C">
              <w:rPr>
                <w:rFonts w:ascii="Arial" w:hAnsi="Arial" w:cs="Arial"/>
                <w:sz w:val="20"/>
                <w:szCs w:val="20"/>
              </w:rPr>
              <w:t xml:space="preserve"> </w:t>
            </w:r>
            <w:r w:rsidR="0012161A" w:rsidRPr="00E0642C">
              <w:rPr>
                <w:rFonts w:ascii="Arial" w:hAnsi="Arial" w:cs="Arial"/>
                <w:sz w:val="20"/>
                <w:szCs w:val="20"/>
              </w:rPr>
              <w:t>-</w:t>
            </w:r>
            <w:r w:rsidRPr="00E0642C">
              <w:rPr>
                <w:rFonts w:ascii="Arial" w:hAnsi="Arial" w:cs="Arial"/>
                <w:sz w:val="20"/>
                <w:szCs w:val="20"/>
              </w:rPr>
              <w:t>Included LED high bay fixtures to replace 100</w:t>
            </w:r>
            <w:r w:rsidR="00A777F4" w:rsidRPr="00E0642C">
              <w:rPr>
                <w:rFonts w:ascii="Arial" w:hAnsi="Arial" w:cs="Arial"/>
                <w:sz w:val="20"/>
                <w:szCs w:val="20"/>
              </w:rPr>
              <w:t>W</w:t>
            </w:r>
            <w:r w:rsidRPr="00E0642C">
              <w:rPr>
                <w:rFonts w:ascii="Arial" w:hAnsi="Arial" w:cs="Arial"/>
                <w:sz w:val="20"/>
                <w:szCs w:val="20"/>
              </w:rPr>
              <w:t xml:space="preserve"> &amp; 150W MH as well as </w:t>
            </w:r>
            <w:r w:rsidR="00007BED" w:rsidRPr="00E0642C">
              <w:rPr>
                <w:rFonts w:ascii="Arial" w:hAnsi="Arial" w:cs="Arial"/>
                <w:sz w:val="20"/>
                <w:szCs w:val="20"/>
              </w:rPr>
              <w:t>2- and 3-lamp fluorescent</w:t>
            </w:r>
            <w:r w:rsidRPr="00E0642C">
              <w:rPr>
                <w:rFonts w:ascii="Arial" w:hAnsi="Arial" w:cs="Arial"/>
                <w:sz w:val="20"/>
                <w:szCs w:val="20"/>
              </w:rPr>
              <w:t xml:space="preserve"> fixtures;</w:t>
            </w:r>
            <w:r w:rsidR="00007BED" w:rsidRPr="00E0642C">
              <w:rPr>
                <w:rFonts w:ascii="Arial" w:hAnsi="Arial" w:cs="Arial"/>
                <w:sz w:val="20"/>
                <w:szCs w:val="20"/>
              </w:rPr>
              <w:t xml:space="preserve">        </w:t>
            </w:r>
            <w:r w:rsidR="00BB4259" w:rsidRPr="00E0642C">
              <w:rPr>
                <w:rFonts w:ascii="Arial" w:hAnsi="Arial" w:cs="Arial"/>
                <w:sz w:val="20"/>
                <w:szCs w:val="20"/>
              </w:rPr>
              <w:t xml:space="preserve">                    </w:t>
            </w:r>
            <w:r w:rsidR="00AB1CB6" w:rsidRPr="00E0642C">
              <w:rPr>
                <w:rFonts w:ascii="Arial" w:hAnsi="Arial" w:cs="Arial"/>
                <w:sz w:val="20"/>
                <w:szCs w:val="20"/>
              </w:rPr>
              <w:t xml:space="preserve">           </w:t>
            </w:r>
            <w:r w:rsidR="00127B4E">
              <w:rPr>
                <w:rFonts w:ascii="Arial" w:hAnsi="Arial" w:cs="Arial"/>
                <w:sz w:val="20"/>
                <w:szCs w:val="20"/>
              </w:rPr>
              <w:t xml:space="preserve">  -</w:t>
            </w:r>
            <w:r w:rsidR="00D606E9" w:rsidRPr="00E0642C">
              <w:rPr>
                <w:rFonts w:ascii="Arial" w:hAnsi="Arial" w:cs="Arial"/>
                <w:sz w:val="20"/>
                <w:szCs w:val="20"/>
              </w:rPr>
              <w:t>U</w:t>
            </w:r>
            <w:r w:rsidR="00B56D9D" w:rsidRPr="00E0642C">
              <w:rPr>
                <w:rFonts w:ascii="Arial" w:hAnsi="Arial" w:cs="Arial"/>
                <w:sz w:val="20"/>
                <w:szCs w:val="20"/>
              </w:rPr>
              <w:t>sed</w:t>
            </w:r>
            <w:r w:rsidR="00A777F4" w:rsidRPr="00E0642C">
              <w:rPr>
                <w:rFonts w:ascii="Arial" w:hAnsi="Arial" w:cs="Arial"/>
                <w:sz w:val="20"/>
                <w:szCs w:val="20"/>
              </w:rPr>
              <w:t xml:space="preserve"> Wattage range savings estimation method recommended by Navigant Study (average of </w:t>
            </w:r>
            <w:r w:rsidR="00D606E9" w:rsidRPr="00E0642C">
              <w:rPr>
                <w:rFonts w:ascii="Arial" w:hAnsi="Arial" w:cs="Arial"/>
                <w:sz w:val="20"/>
                <w:szCs w:val="20"/>
              </w:rPr>
              <w:t xml:space="preserve">LED </w:t>
            </w:r>
            <w:r w:rsidR="00B56D9D" w:rsidRPr="00E0642C">
              <w:rPr>
                <w:rFonts w:ascii="Arial" w:hAnsi="Arial" w:cs="Arial"/>
                <w:sz w:val="20"/>
                <w:szCs w:val="20"/>
              </w:rPr>
              <w:t>wattage</w:t>
            </w:r>
            <w:r w:rsidR="00A777F4" w:rsidRPr="00E0642C">
              <w:rPr>
                <w:rFonts w:ascii="Arial" w:hAnsi="Arial" w:cs="Arial"/>
                <w:sz w:val="20"/>
                <w:szCs w:val="20"/>
              </w:rPr>
              <w:t xml:space="preserve"> within the</w:t>
            </w:r>
            <w:r w:rsidR="00B56D9D" w:rsidRPr="00E0642C">
              <w:rPr>
                <w:rFonts w:ascii="Arial" w:hAnsi="Arial" w:cs="Arial"/>
                <w:sz w:val="20"/>
                <w:szCs w:val="20"/>
              </w:rPr>
              <w:t xml:space="preserve"> </w:t>
            </w:r>
            <w:r w:rsidR="00D606E9" w:rsidRPr="00E0642C">
              <w:rPr>
                <w:rFonts w:ascii="Arial" w:hAnsi="Arial" w:cs="Arial"/>
                <w:sz w:val="20"/>
                <w:szCs w:val="20"/>
              </w:rPr>
              <w:t>range</w:t>
            </w:r>
            <w:r w:rsidRPr="00E0642C">
              <w:rPr>
                <w:rFonts w:ascii="Arial" w:hAnsi="Arial" w:cs="Arial"/>
                <w:sz w:val="20"/>
                <w:szCs w:val="20"/>
              </w:rPr>
              <w:t xml:space="preserve"> </w:t>
            </w:r>
            <w:r w:rsidR="00A777F4" w:rsidRPr="00E0642C">
              <w:rPr>
                <w:rFonts w:ascii="Arial" w:hAnsi="Arial" w:cs="Arial"/>
                <w:sz w:val="20"/>
                <w:szCs w:val="20"/>
              </w:rPr>
              <w:t xml:space="preserve">is used </w:t>
            </w:r>
            <w:r w:rsidRPr="00E0642C">
              <w:rPr>
                <w:rFonts w:ascii="Arial" w:hAnsi="Arial" w:cs="Arial"/>
                <w:sz w:val="20"/>
                <w:szCs w:val="20"/>
              </w:rPr>
              <w:t>to</w:t>
            </w:r>
            <w:r w:rsidR="00D606E9" w:rsidRPr="00E0642C">
              <w:rPr>
                <w:rFonts w:ascii="Arial" w:hAnsi="Arial" w:cs="Arial"/>
                <w:sz w:val="20"/>
                <w:szCs w:val="20"/>
              </w:rPr>
              <w:t xml:space="preserve"> </w:t>
            </w:r>
            <w:r w:rsidR="00A777F4" w:rsidRPr="00E0642C">
              <w:rPr>
                <w:rFonts w:ascii="Arial" w:hAnsi="Arial" w:cs="Arial"/>
                <w:sz w:val="20"/>
                <w:szCs w:val="20"/>
              </w:rPr>
              <w:t>calculate savings)</w:t>
            </w:r>
          </w:p>
          <w:p w14:paraId="14A7F3AB" w14:textId="5278E565" w:rsidR="00464374" w:rsidRPr="00E0642C" w:rsidRDefault="00464374" w:rsidP="001C4E97">
            <w:pPr>
              <w:rPr>
                <w:rFonts w:ascii="Arial" w:hAnsi="Arial" w:cs="Arial"/>
                <w:sz w:val="20"/>
                <w:szCs w:val="20"/>
              </w:rPr>
            </w:pPr>
            <w:r w:rsidRPr="00E0642C">
              <w:rPr>
                <w:rFonts w:ascii="Arial" w:hAnsi="Arial" w:cs="Arial"/>
                <w:sz w:val="20"/>
                <w:szCs w:val="20"/>
              </w:rPr>
              <w:t>-</w:t>
            </w:r>
            <w:r w:rsidR="001C4E97" w:rsidRPr="00E0642C">
              <w:rPr>
                <w:rFonts w:ascii="Arial" w:hAnsi="Arial" w:cs="Arial"/>
                <w:sz w:val="20"/>
                <w:szCs w:val="20"/>
              </w:rPr>
              <w:t xml:space="preserve">Updated cost </w:t>
            </w:r>
          </w:p>
        </w:tc>
        <w:tc>
          <w:tcPr>
            <w:tcW w:w="1429" w:type="pct"/>
            <w:shd w:val="clear" w:color="auto" w:fill="auto"/>
          </w:tcPr>
          <w:p w14:paraId="0A3BA324" w14:textId="5F627B0D" w:rsidR="00825E37" w:rsidRPr="00E0642C" w:rsidRDefault="00DB0DBA" w:rsidP="005C7190">
            <w:pPr>
              <w:rPr>
                <w:rFonts w:ascii="Arial" w:hAnsi="Arial" w:cs="Arial"/>
                <w:bCs/>
                <w:sz w:val="20"/>
                <w:szCs w:val="20"/>
              </w:rPr>
            </w:pPr>
            <w:r w:rsidRPr="00E0642C">
              <w:rPr>
                <w:rFonts w:ascii="Arial" w:hAnsi="Arial" w:cs="Arial"/>
                <w:bCs/>
                <w:sz w:val="20"/>
                <w:szCs w:val="20"/>
              </w:rPr>
              <w:t>Mini Damodaran(PG&amp;E)/</w:t>
            </w:r>
            <w:r w:rsidR="00485A0A" w:rsidRPr="00E0642C">
              <w:rPr>
                <w:rFonts w:ascii="Arial" w:hAnsi="Arial" w:cs="Arial"/>
                <w:bCs/>
                <w:sz w:val="20"/>
                <w:szCs w:val="20"/>
              </w:rPr>
              <w:t xml:space="preserve"> Greg Barker (Energy Solutions)</w:t>
            </w:r>
          </w:p>
        </w:tc>
      </w:tr>
      <w:tr w:rsidR="00BF487C" w:rsidRPr="00E0642C" w14:paraId="058181BE" w14:textId="77777777" w:rsidTr="00127B4E">
        <w:trPr>
          <w:trHeight w:val="466"/>
        </w:trPr>
        <w:tc>
          <w:tcPr>
            <w:tcW w:w="695" w:type="pct"/>
            <w:shd w:val="clear" w:color="auto" w:fill="auto"/>
          </w:tcPr>
          <w:p w14:paraId="27B22CD7" w14:textId="77777777" w:rsidR="00BF487C" w:rsidRPr="00E0642C" w:rsidRDefault="00BF487C" w:rsidP="00DE6FFB">
            <w:pPr>
              <w:rPr>
                <w:rFonts w:ascii="Arial" w:hAnsi="Arial" w:cs="Arial"/>
                <w:bCs/>
                <w:sz w:val="20"/>
                <w:szCs w:val="20"/>
              </w:rPr>
            </w:pPr>
            <w:r w:rsidRPr="00E0642C">
              <w:rPr>
                <w:rFonts w:ascii="Arial" w:hAnsi="Arial" w:cs="Arial"/>
                <w:bCs/>
                <w:sz w:val="20"/>
                <w:szCs w:val="20"/>
              </w:rPr>
              <w:t>Revision 3</w:t>
            </w:r>
          </w:p>
          <w:p w14:paraId="22606FB5" w14:textId="0EE59919" w:rsidR="00BF487C" w:rsidRPr="00E0642C" w:rsidRDefault="00BF487C" w:rsidP="00DE6FFB">
            <w:pPr>
              <w:rPr>
                <w:rFonts w:ascii="Arial" w:hAnsi="Arial" w:cs="Arial"/>
                <w:bCs/>
                <w:sz w:val="20"/>
                <w:szCs w:val="20"/>
              </w:rPr>
            </w:pPr>
            <w:r w:rsidRPr="00E0642C">
              <w:rPr>
                <w:rFonts w:ascii="Arial" w:hAnsi="Arial" w:cs="Arial"/>
                <w:bCs/>
                <w:sz w:val="20"/>
                <w:szCs w:val="20"/>
              </w:rPr>
              <w:t>(Interim Solution)</w:t>
            </w:r>
          </w:p>
        </w:tc>
        <w:tc>
          <w:tcPr>
            <w:tcW w:w="635" w:type="pct"/>
            <w:shd w:val="clear" w:color="auto" w:fill="auto"/>
          </w:tcPr>
          <w:p w14:paraId="74F51697" w14:textId="77777777" w:rsidR="00BF487C" w:rsidRPr="00E0642C" w:rsidRDefault="00BF487C" w:rsidP="004423F3">
            <w:pPr>
              <w:rPr>
                <w:rFonts w:ascii="Arial" w:hAnsi="Arial" w:cs="Arial"/>
                <w:sz w:val="20"/>
                <w:szCs w:val="20"/>
              </w:rPr>
            </w:pPr>
            <w:r w:rsidRPr="00E0642C">
              <w:rPr>
                <w:rFonts w:ascii="Arial" w:hAnsi="Arial" w:cs="Arial"/>
                <w:sz w:val="20"/>
                <w:szCs w:val="20"/>
              </w:rPr>
              <w:t>4/11/2018</w:t>
            </w:r>
          </w:p>
          <w:p w14:paraId="7970A7E5" w14:textId="77777777" w:rsidR="00BF487C" w:rsidRPr="00E0642C" w:rsidRDefault="00BF487C" w:rsidP="004423F3">
            <w:pPr>
              <w:rPr>
                <w:rFonts w:ascii="Arial" w:hAnsi="Arial" w:cs="Arial"/>
                <w:sz w:val="20"/>
                <w:szCs w:val="20"/>
              </w:rPr>
            </w:pPr>
          </w:p>
          <w:p w14:paraId="71E604EF" w14:textId="77777777" w:rsidR="00BF487C" w:rsidRPr="00E0642C" w:rsidRDefault="00BF487C" w:rsidP="004423F3">
            <w:pPr>
              <w:rPr>
                <w:rFonts w:ascii="Arial" w:hAnsi="Arial" w:cs="Arial"/>
                <w:bCs/>
                <w:sz w:val="20"/>
                <w:szCs w:val="20"/>
              </w:rPr>
            </w:pPr>
          </w:p>
          <w:p w14:paraId="205831B3" w14:textId="77777777" w:rsidR="00BF487C" w:rsidRPr="00E0642C" w:rsidRDefault="00BF487C" w:rsidP="004423F3">
            <w:pPr>
              <w:rPr>
                <w:rFonts w:ascii="Arial" w:hAnsi="Arial" w:cs="Arial"/>
                <w:bCs/>
                <w:sz w:val="20"/>
                <w:szCs w:val="20"/>
              </w:rPr>
            </w:pPr>
          </w:p>
          <w:p w14:paraId="727750A7" w14:textId="77777777" w:rsidR="00BF487C" w:rsidRPr="00E0642C" w:rsidRDefault="00BF487C" w:rsidP="004423F3">
            <w:pPr>
              <w:rPr>
                <w:rFonts w:ascii="Arial" w:hAnsi="Arial" w:cs="Arial"/>
                <w:bCs/>
                <w:sz w:val="20"/>
                <w:szCs w:val="20"/>
              </w:rPr>
            </w:pPr>
          </w:p>
          <w:p w14:paraId="665E1273" w14:textId="77777777" w:rsidR="00BF487C" w:rsidRPr="00E0642C" w:rsidRDefault="00BF487C" w:rsidP="004423F3">
            <w:pPr>
              <w:rPr>
                <w:rFonts w:ascii="Arial" w:hAnsi="Arial" w:cs="Arial"/>
                <w:bCs/>
                <w:sz w:val="20"/>
                <w:szCs w:val="20"/>
              </w:rPr>
            </w:pPr>
          </w:p>
          <w:p w14:paraId="41F6A250" w14:textId="77777777" w:rsidR="00BF487C" w:rsidRPr="00E0642C" w:rsidRDefault="00BF487C" w:rsidP="004423F3">
            <w:pPr>
              <w:rPr>
                <w:rFonts w:ascii="Arial" w:hAnsi="Arial" w:cs="Arial"/>
                <w:bCs/>
                <w:sz w:val="20"/>
                <w:szCs w:val="20"/>
              </w:rPr>
            </w:pPr>
          </w:p>
          <w:p w14:paraId="68AA25DA" w14:textId="62A7FDE8" w:rsidR="00BF487C" w:rsidRPr="00E0642C" w:rsidRDefault="009C5331" w:rsidP="00DE6FFB">
            <w:pPr>
              <w:rPr>
                <w:rFonts w:ascii="Arial" w:hAnsi="Arial" w:cs="Arial"/>
                <w:bCs/>
                <w:sz w:val="20"/>
                <w:szCs w:val="20"/>
              </w:rPr>
            </w:pPr>
            <w:r>
              <w:rPr>
                <w:rFonts w:ascii="Arial" w:hAnsi="Arial" w:cs="Arial"/>
                <w:bCs/>
                <w:sz w:val="20"/>
                <w:szCs w:val="20"/>
              </w:rPr>
              <w:t>6/27</w:t>
            </w:r>
            <w:r w:rsidR="00BF487C" w:rsidRPr="00E0642C">
              <w:rPr>
                <w:rFonts w:ascii="Arial" w:hAnsi="Arial" w:cs="Arial"/>
                <w:bCs/>
                <w:sz w:val="20"/>
                <w:szCs w:val="20"/>
              </w:rPr>
              <w:t>/2018</w:t>
            </w:r>
          </w:p>
        </w:tc>
        <w:tc>
          <w:tcPr>
            <w:tcW w:w="2240" w:type="pct"/>
            <w:shd w:val="clear" w:color="auto" w:fill="auto"/>
          </w:tcPr>
          <w:p w14:paraId="47C796C9" w14:textId="77777777" w:rsidR="00BF487C" w:rsidRPr="00E0642C" w:rsidRDefault="00BF487C" w:rsidP="00DE6FFB">
            <w:pPr>
              <w:rPr>
                <w:rFonts w:ascii="Arial" w:hAnsi="Arial" w:cs="Arial"/>
                <w:sz w:val="20"/>
                <w:szCs w:val="20"/>
              </w:rPr>
            </w:pPr>
            <w:r w:rsidRPr="00E0642C">
              <w:rPr>
                <w:rFonts w:ascii="Arial" w:hAnsi="Arial" w:cs="Arial"/>
                <w:sz w:val="20"/>
                <w:szCs w:val="20"/>
              </w:rPr>
              <w:t>-Baseline percentage mixes include LEDs and remove Metal Halides</w:t>
            </w:r>
          </w:p>
          <w:p w14:paraId="1D1E3E7E" w14:textId="51AEB4D0" w:rsidR="00BF487C" w:rsidRPr="00E0642C" w:rsidRDefault="00BF487C" w:rsidP="00DE6FFB">
            <w:pPr>
              <w:rPr>
                <w:rFonts w:ascii="Arial" w:hAnsi="Arial" w:cs="Arial"/>
                <w:sz w:val="20"/>
                <w:szCs w:val="20"/>
              </w:rPr>
            </w:pPr>
            <w:r w:rsidRPr="00E0642C">
              <w:rPr>
                <w:rFonts w:ascii="Arial" w:hAnsi="Arial" w:cs="Arial"/>
                <w:sz w:val="20"/>
                <w:szCs w:val="20"/>
              </w:rPr>
              <w:t>-Created Tier 1 and Tier 2</w:t>
            </w:r>
            <w:r w:rsidR="006072A7" w:rsidRPr="00E0642C">
              <w:rPr>
                <w:rFonts w:ascii="Arial" w:hAnsi="Arial" w:cs="Arial"/>
                <w:sz w:val="20"/>
                <w:szCs w:val="20"/>
              </w:rPr>
              <w:t xml:space="preserve"> Measures</w:t>
            </w:r>
          </w:p>
          <w:p w14:paraId="3C73B04A" w14:textId="2F3D4153" w:rsidR="00BF487C" w:rsidRPr="00E0642C" w:rsidRDefault="00BF487C" w:rsidP="00DE6FFB">
            <w:pPr>
              <w:rPr>
                <w:rFonts w:ascii="Arial" w:hAnsi="Arial" w:cs="Arial"/>
                <w:sz w:val="20"/>
                <w:szCs w:val="20"/>
              </w:rPr>
            </w:pPr>
            <w:r w:rsidRPr="00E0642C">
              <w:rPr>
                <w:rFonts w:ascii="Arial" w:hAnsi="Arial" w:cs="Arial"/>
                <w:sz w:val="20"/>
                <w:szCs w:val="20"/>
              </w:rPr>
              <w:t>-Aligns technical requirements with DLC Technical Requirements up</w:t>
            </w:r>
            <w:r w:rsidRPr="00E35C1C">
              <w:rPr>
                <w:rFonts w:ascii="Arial" w:hAnsi="Arial" w:cs="Arial"/>
                <w:color w:val="000000"/>
                <w:sz w:val="20"/>
                <w:szCs w:val="20"/>
              </w:rPr>
              <w:t>date v4.</w:t>
            </w:r>
            <w:r w:rsidR="006072A7" w:rsidRPr="00E35C1C">
              <w:rPr>
                <w:rFonts w:ascii="Arial" w:hAnsi="Arial" w:cs="Arial"/>
                <w:color w:val="000000"/>
                <w:sz w:val="20"/>
                <w:szCs w:val="20"/>
              </w:rPr>
              <w:t>0+</w:t>
            </w:r>
          </w:p>
          <w:p w14:paraId="33CD466C" w14:textId="77777777" w:rsidR="00BF487C" w:rsidRPr="00E0642C" w:rsidRDefault="00BF487C" w:rsidP="00DE6FFB">
            <w:pPr>
              <w:rPr>
                <w:rFonts w:ascii="Arial" w:hAnsi="Arial" w:cs="Arial"/>
                <w:sz w:val="20"/>
                <w:szCs w:val="20"/>
              </w:rPr>
            </w:pPr>
            <w:r w:rsidRPr="00E0642C">
              <w:rPr>
                <w:rFonts w:ascii="Arial" w:hAnsi="Arial" w:cs="Arial"/>
                <w:sz w:val="20"/>
                <w:szCs w:val="20"/>
              </w:rPr>
              <w:t>-Cost is a temporary placeholder that uses IMC as a percentage of the rebate amount</w:t>
            </w:r>
          </w:p>
          <w:p w14:paraId="56BAD89B" w14:textId="3F5640DD" w:rsidR="00BF487C" w:rsidRPr="00E0642C" w:rsidRDefault="00BF487C" w:rsidP="00BF487C">
            <w:pPr>
              <w:rPr>
                <w:rFonts w:ascii="Arial" w:hAnsi="Arial" w:cs="Arial"/>
                <w:sz w:val="20"/>
                <w:szCs w:val="20"/>
              </w:rPr>
            </w:pPr>
            <w:r w:rsidRPr="00E0642C">
              <w:rPr>
                <w:rFonts w:ascii="Arial" w:hAnsi="Arial" w:cs="Arial"/>
                <w:sz w:val="20"/>
                <w:szCs w:val="20"/>
              </w:rPr>
              <w:t>As per disposition “InteriorHighAndLowBayLEDPhase2-7May2018-Final”</w:t>
            </w:r>
          </w:p>
          <w:p w14:paraId="1A03652D" w14:textId="6B032E9B" w:rsidR="00BF487C" w:rsidRPr="00E0642C" w:rsidRDefault="00BF487C" w:rsidP="007B2DD3">
            <w:pPr>
              <w:rPr>
                <w:rFonts w:ascii="Arial" w:hAnsi="Arial" w:cs="Arial"/>
                <w:sz w:val="20"/>
                <w:szCs w:val="20"/>
              </w:rPr>
            </w:pPr>
            <w:r w:rsidRPr="00E0642C">
              <w:rPr>
                <w:rFonts w:ascii="Arial" w:hAnsi="Arial" w:cs="Arial"/>
                <w:sz w:val="20"/>
                <w:szCs w:val="20"/>
              </w:rPr>
              <w:t>-Revision 3 is effective 4/1/2018</w:t>
            </w:r>
          </w:p>
          <w:p w14:paraId="741FE5B8" w14:textId="77777777" w:rsidR="00BF487C" w:rsidRPr="00E0642C" w:rsidRDefault="00BF487C" w:rsidP="00BF487C">
            <w:pPr>
              <w:rPr>
                <w:rFonts w:ascii="Arial" w:hAnsi="Arial" w:cs="Arial"/>
                <w:sz w:val="20"/>
                <w:szCs w:val="20"/>
              </w:rPr>
            </w:pPr>
            <w:r w:rsidRPr="00E0642C">
              <w:rPr>
                <w:rFonts w:ascii="Arial" w:hAnsi="Arial" w:cs="Arial"/>
                <w:sz w:val="20"/>
                <w:szCs w:val="20"/>
              </w:rPr>
              <w:t xml:space="preserve">-Updated NTG to 0.91 </w:t>
            </w:r>
          </w:p>
          <w:p w14:paraId="627B17C0" w14:textId="06BCB5F7" w:rsidR="00BF487C" w:rsidRPr="00E0642C" w:rsidRDefault="00BF487C" w:rsidP="00BF487C">
            <w:pPr>
              <w:rPr>
                <w:rFonts w:ascii="Arial" w:hAnsi="Arial" w:cs="Arial"/>
                <w:sz w:val="20"/>
                <w:szCs w:val="20"/>
              </w:rPr>
            </w:pPr>
            <w:r w:rsidRPr="00E0642C">
              <w:rPr>
                <w:rFonts w:ascii="Arial" w:hAnsi="Arial" w:cs="Arial"/>
                <w:sz w:val="20"/>
                <w:szCs w:val="20"/>
              </w:rPr>
              <w:t>-Updated Measure IDs and Cost IDs</w:t>
            </w:r>
          </w:p>
        </w:tc>
        <w:tc>
          <w:tcPr>
            <w:tcW w:w="1429" w:type="pct"/>
            <w:shd w:val="clear" w:color="auto" w:fill="auto"/>
          </w:tcPr>
          <w:p w14:paraId="7D3083F6" w14:textId="77777777" w:rsidR="00BF487C" w:rsidRPr="00E0642C" w:rsidRDefault="00BF487C" w:rsidP="00DE6FFB">
            <w:pPr>
              <w:rPr>
                <w:rFonts w:ascii="Arial" w:hAnsi="Arial" w:cs="Arial"/>
                <w:bCs/>
                <w:sz w:val="20"/>
                <w:szCs w:val="20"/>
              </w:rPr>
            </w:pPr>
            <w:r w:rsidRPr="00E0642C">
              <w:rPr>
                <w:rFonts w:ascii="Arial" w:hAnsi="Arial" w:cs="Arial"/>
                <w:bCs/>
                <w:sz w:val="20"/>
                <w:szCs w:val="20"/>
              </w:rPr>
              <w:t>Mini Damodaran(PG&amp;E)</w:t>
            </w:r>
          </w:p>
          <w:p w14:paraId="5D30C2FB" w14:textId="6032036C" w:rsidR="00BF487C" w:rsidRPr="00E0642C" w:rsidRDefault="00BF487C" w:rsidP="00DE6FFB">
            <w:pPr>
              <w:rPr>
                <w:rFonts w:ascii="Arial" w:hAnsi="Arial" w:cs="Arial"/>
                <w:bCs/>
                <w:sz w:val="20"/>
                <w:szCs w:val="20"/>
              </w:rPr>
            </w:pPr>
            <w:r w:rsidRPr="00E0642C">
              <w:rPr>
                <w:rFonts w:ascii="Arial" w:hAnsi="Arial" w:cs="Arial"/>
                <w:bCs/>
                <w:sz w:val="20"/>
                <w:szCs w:val="20"/>
              </w:rPr>
              <w:t>Linda Wan (PG&amp;E)</w:t>
            </w:r>
          </w:p>
          <w:p w14:paraId="79BA3C8B" w14:textId="2D031FD1" w:rsidR="00BF487C" w:rsidRPr="00E0642C" w:rsidRDefault="00BF487C" w:rsidP="00DE6FFB">
            <w:pPr>
              <w:rPr>
                <w:rFonts w:ascii="Arial" w:hAnsi="Arial" w:cs="Arial"/>
                <w:bCs/>
                <w:sz w:val="20"/>
                <w:szCs w:val="20"/>
              </w:rPr>
            </w:pPr>
            <w:r w:rsidRPr="00E0642C">
              <w:rPr>
                <w:rFonts w:ascii="Arial" w:hAnsi="Arial" w:cs="Arial"/>
                <w:bCs/>
                <w:sz w:val="20"/>
                <w:szCs w:val="20"/>
              </w:rPr>
              <w:t>Pauravi Shah (PG&amp;E)</w:t>
            </w:r>
          </w:p>
          <w:p w14:paraId="633A2343" w14:textId="77777777" w:rsidR="00BF487C" w:rsidRPr="00E0642C" w:rsidRDefault="00BF487C" w:rsidP="00DE6FFB">
            <w:pPr>
              <w:rPr>
                <w:rFonts w:ascii="Arial" w:hAnsi="Arial" w:cs="Arial"/>
                <w:bCs/>
                <w:sz w:val="20"/>
                <w:szCs w:val="20"/>
              </w:rPr>
            </w:pPr>
            <w:r w:rsidRPr="00E0642C">
              <w:rPr>
                <w:rFonts w:ascii="Arial" w:hAnsi="Arial" w:cs="Arial"/>
                <w:bCs/>
                <w:sz w:val="20"/>
                <w:szCs w:val="20"/>
              </w:rPr>
              <w:t>Greg Barker (Energy Solutions)</w:t>
            </w:r>
          </w:p>
          <w:p w14:paraId="4867B2A2" w14:textId="77777777" w:rsidR="00BF487C" w:rsidRPr="00E0642C" w:rsidRDefault="00BF487C" w:rsidP="00DE6FFB">
            <w:pPr>
              <w:rPr>
                <w:rFonts w:ascii="Arial" w:hAnsi="Arial" w:cs="Arial"/>
                <w:bCs/>
                <w:sz w:val="20"/>
                <w:szCs w:val="20"/>
              </w:rPr>
            </w:pPr>
          </w:p>
          <w:p w14:paraId="2788344F" w14:textId="77777777" w:rsidR="00BF487C" w:rsidRPr="00E0642C" w:rsidRDefault="00BF487C" w:rsidP="00DE6FFB">
            <w:pPr>
              <w:rPr>
                <w:rFonts w:ascii="Arial" w:hAnsi="Arial" w:cs="Arial"/>
                <w:bCs/>
                <w:sz w:val="20"/>
                <w:szCs w:val="20"/>
              </w:rPr>
            </w:pPr>
          </w:p>
          <w:p w14:paraId="274B0EBF" w14:textId="6C40BE45" w:rsidR="00BF487C" w:rsidRPr="00E0642C" w:rsidRDefault="00BF487C" w:rsidP="00DE6FFB">
            <w:pPr>
              <w:rPr>
                <w:rFonts w:ascii="Arial" w:hAnsi="Arial" w:cs="Arial"/>
                <w:bCs/>
                <w:sz w:val="20"/>
                <w:szCs w:val="20"/>
              </w:rPr>
            </w:pPr>
            <w:r w:rsidRPr="00E0642C">
              <w:rPr>
                <w:rFonts w:ascii="Arial" w:hAnsi="Arial" w:cs="Arial"/>
                <w:bCs/>
                <w:sz w:val="20"/>
                <w:szCs w:val="20"/>
              </w:rPr>
              <w:t>Mini Damodaran(PG&amp;E)</w:t>
            </w:r>
          </w:p>
        </w:tc>
      </w:tr>
      <w:tr w:rsidR="00EF35A8" w:rsidRPr="00E0642C" w14:paraId="66F26724" w14:textId="77777777" w:rsidTr="00127B4E">
        <w:trPr>
          <w:trHeight w:val="466"/>
        </w:trPr>
        <w:tc>
          <w:tcPr>
            <w:tcW w:w="695" w:type="pct"/>
            <w:shd w:val="clear" w:color="auto" w:fill="auto"/>
          </w:tcPr>
          <w:p w14:paraId="62A63EFA" w14:textId="77777777" w:rsidR="00EF35A8" w:rsidRDefault="007353C2">
            <w:pPr>
              <w:rPr>
                <w:rFonts w:ascii="Arial" w:hAnsi="Arial" w:cs="Arial"/>
                <w:sz w:val="20"/>
                <w:szCs w:val="20"/>
              </w:rPr>
            </w:pPr>
            <w:r w:rsidRPr="007B68E7">
              <w:rPr>
                <w:rFonts w:ascii="Arial" w:hAnsi="Arial" w:cs="Arial"/>
                <w:sz w:val="20"/>
                <w:szCs w:val="20"/>
              </w:rPr>
              <w:t>Revision 4</w:t>
            </w:r>
          </w:p>
          <w:p w14:paraId="1ECAEAD1" w14:textId="77777777" w:rsidR="00047F6F" w:rsidRDefault="00047F6F">
            <w:pPr>
              <w:rPr>
                <w:rFonts w:ascii="Arial" w:hAnsi="Arial" w:cs="Arial"/>
                <w:sz w:val="20"/>
                <w:szCs w:val="20"/>
              </w:rPr>
            </w:pPr>
          </w:p>
          <w:p w14:paraId="699F2047" w14:textId="77777777" w:rsidR="00047F6F" w:rsidRDefault="00047F6F">
            <w:pPr>
              <w:rPr>
                <w:rFonts w:ascii="Arial" w:hAnsi="Arial" w:cs="Arial"/>
                <w:sz w:val="20"/>
                <w:szCs w:val="20"/>
              </w:rPr>
            </w:pPr>
          </w:p>
          <w:p w14:paraId="18A62128" w14:textId="77777777" w:rsidR="00047F6F" w:rsidRDefault="00047F6F">
            <w:pPr>
              <w:rPr>
                <w:rFonts w:ascii="Arial" w:hAnsi="Arial" w:cs="Arial"/>
                <w:sz w:val="20"/>
                <w:szCs w:val="20"/>
              </w:rPr>
            </w:pPr>
          </w:p>
          <w:p w14:paraId="3852BB72" w14:textId="77777777" w:rsidR="00047F6F" w:rsidRDefault="00047F6F">
            <w:pPr>
              <w:rPr>
                <w:rFonts w:ascii="Arial" w:hAnsi="Arial" w:cs="Arial"/>
                <w:sz w:val="20"/>
                <w:szCs w:val="20"/>
              </w:rPr>
            </w:pPr>
          </w:p>
          <w:p w14:paraId="58EDDBEE" w14:textId="77777777" w:rsidR="00047F6F" w:rsidRDefault="00047F6F">
            <w:pPr>
              <w:rPr>
                <w:rFonts w:ascii="Arial" w:hAnsi="Arial" w:cs="Arial"/>
                <w:sz w:val="20"/>
                <w:szCs w:val="20"/>
              </w:rPr>
            </w:pPr>
          </w:p>
          <w:p w14:paraId="381B194C" w14:textId="77777777" w:rsidR="00047F6F" w:rsidRDefault="00047F6F">
            <w:pPr>
              <w:rPr>
                <w:rFonts w:ascii="Arial" w:hAnsi="Arial" w:cs="Arial"/>
                <w:sz w:val="20"/>
                <w:szCs w:val="20"/>
              </w:rPr>
            </w:pPr>
          </w:p>
          <w:p w14:paraId="02A6384D" w14:textId="77777777" w:rsidR="00047F6F" w:rsidRDefault="00047F6F">
            <w:pPr>
              <w:rPr>
                <w:rFonts w:ascii="Arial" w:hAnsi="Arial" w:cs="Arial"/>
                <w:sz w:val="20"/>
                <w:szCs w:val="20"/>
              </w:rPr>
            </w:pPr>
          </w:p>
          <w:p w14:paraId="3DCAA496" w14:textId="2218D454" w:rsidR="00047F6F" w:rsidRDefault="00047F6F">
            <w:pPr>
              <w:rPr>
                <w:rFonts w:ascii="Arial" w:hAnsi="Arial" w:cs="Arial"/>
                <w:sz w:val="20"/>
                <w:szCs w:val="20"/>
              </w:rPr>
            </w:pPr>
            <w:r>
              <w:rPr>
                <w:rFonts w:ascii="Arial" w:hAnsi="Arial" w:cs="Arial"/>
                <w:sz w:val="20"/>
                <w:szCs w:val="20"/>
              </w:rPr>
              <w:lastRenderedPageBreak/>
              <w:t>Revision 4</w:t>
            </w:r>
          </w:p>
          <w:p w14:paraId="4B171918" w14:textId="707C17E7" w:rsidR="00047F6F" w:rsidRPr="00E37086" w:rsidRDefault="00047F6F">
            <w:pPr>
              <w:rPr>
                <w:rFonts w:ascii="Arial" w:hAnsi="Arial" w:cs="Arial"/>
                <w:sz w:val="20"/>
                <w:szCs w:val="20"/>
              </w:rPr>
            </w:pPr>
          </w:p>
        </w:tc>
        <w:tc>
          <w:tcPr>
            <w:tcW w:w="635" w:type="pct"/>
            <w:shd w:val="clear" w:color="auto" w:fill="auto"/>
          </w:tcPr>
          <w:p w14:paraId="152A7307" w14:textId="77777777" w:rsidR="00EF35A8" w:rsidRDefault="007353C2" w:rsidP="00A96769">
            <w:pPr>
              <w:rPr>
                <w:rFonts w:ascii="Arial" w:hAnsi="Arial" w:cs="Arial"/>
                <w:sz w:val="20"/>
                <w:szCs w:val="20"/>
              </w:rPr>
            </w:pPr>
            <w:r>
              <w:rPr>
                <w:rFonts w:ascii="Arial" w:hAnsi="Arial" w:cs="Arial"/>
                <w:sz w:val="20"/>
                <w:szCs w:val="20"/>
              </w:rPr>
              <w:lastRenderedPageBreak/>
              <w:t>12/</w:t>
            </w:r>
            <w:r w:rsidR="00A96769">
              <w:rPr>
                <w:rFonts w:ascii="Arial" w:hAnsi="Arial" w:cs="Arial"/>
                <w:sz w:val="20"/>
                <w:szCs w:val="20"/>
              </w:rPr>
              <w:t>31</w:t>
            </w:r>
            <w:r>
              <w:rPr>
                <w:rFonts w:ascii="Arial" w:hAnsi="Arial" w:cs="Arial"/>
                <w:sz w:val="20"/>
                <w:szCs w:val="20"/>
              </w:rPr>
              <w:t>/2018</w:t>
            </w:r>
          </w:p>
          <w:p w14:paraId="188B8A18" w14:textId="77777777" w:rsidR="00047F6F" w:rsidRDefault="00047F6F" w:rsidP="00A96769">
            <w:pPr>
              <w:rPr>
                <w:rFonts w:ascii="Arial" w:hAnsi="Arial" w:cs="Arial"/>
                <w:sz w:val="20"/>
                <w:szCs w:val="20"/>
              </w:rPr>
            </w:pPr>
          </w:p>
          <w:p w14:paraId="3C3D7730" w14:textId="77777777" w:rsidR="00047F6F" w:rsidRDefault="00047F6F" w:rsidP="00A96769">
            <w:pPr>
              <w:rPr>
                <w:rFonts w:ascii="Arial" w:hAnsi="Arial" w:cs="Arial"/>
                <w:sz w:val="20"/>
                <w:szCs w:val="20"/>
              </w:rPr>
            </w:pPr>
          </w:p>
          <w:p w14:paraId="1D123652" w14:textId="77777777" w:rsidR="00047F6F" w:rsidRDefault="00047F6F" w:rsidP="00A96769">
            <w:pPr>
              <w:rPr>
                <w:rFonts w:ascii="Arial" w:hAnsi="Arial" w:cs="Arial"/>
                <w:sz w:val="20"/>
                <w:szCs w:val="20"/>
              </w:rPr>
            </w:pPr>
          </w:p>
          <w:p w14:paraId="5EBA9F02" w14:textId="77777777" w:rsidR="00047F6F" w:rsidRDefault="00047F6F" w:rsidP="00A96769">
            <w:pPr>
              <w:rPr>
                <w:rFonts w:ascii="Arial" w:hAnsi="Arial" w:cs="Arial"/>
                <w:sz w:val="20"/>
                <w:szCs w:val="20"/>
              </w:rPr>
            </w:pPr>
          </w:p>
          <w:p w14:paraId="38730AE9" w14:textId="77777777" w:rsidR="00047F6F" w:rsidRDefault="00047F6F" w:rsidP="00A96769">
            <w:pPr>
              <w:rPr>
                <w:rFonts w:ascii="Arial" w:hAnsi="Arial" w:cs="Arial"/>
                <w:sz w:val="20"/>
                <w:szCs w:val="20"/>
              </w:rPr>
            </w:pPr>
          </w:p>
          <w:p w14:paraId="307657CD" w14:textId="77777777" w:rsidR="00047F6F" w:rsidRDefault="00047F6F" w:rsidP="00A96769">
            <w:pPr>
              <w:rPr>
                <w:rFonts w:ascii="Arial" w:hAnsi="Arial" w:cs="Arial"/>
                <w:sz w:val="20"/>
                <w:szCs w:val="20"/>
              </w:rPr>
            </w:pPr>
          </w:p>
          <w:p w14:paraId="47130E11" w14:textId="77777777" w:rsidR="00047F6F" w:rsidRDefault="00047F6F" w:rsidP="00A96769">
            <w:pPr>
              <w:rPr>
                <w:rFonts w:ascii="Arial" w:hAnsi="Arial" w:cs="Arial"/>
                <w:sz w:val="20"/>
                <w:szCs w:val="20"/>
              </w:rPr>
            </w:pPr>
          </w:p>
          <w:p w14:paraId="502A80D0" w14:textId="0A54B449" w:rsidR="00047F6F" w:rsidRPr="00E0642C" w:rsidRDefault="00047F6F" w:rsidP="00A96769">
            <w:pPr>
              <w:rPr>
                <w:rFonts w:ascii="Arial" w:hAnsi="Arial" w:cs="Arial"/>
                <w:sz w:val="20"/>
                <w:szCs w:val="20"/>
              </w:rPr>
            </w:pPr>
            <w:r>
              <w:rPr>
                <w:rFonts w:ascii="Arial" w:hAnsi="Arial" w:cs="Arial"/>
                <w:sz w:val="20"/>
                <w:szCs w:val="20"/>
              </w:rPr>
              <w:lastRenderedPageBreak/>
              <w:t>3/1/2019</w:t>
            </w:r>
          </w:p>
        </w:tc>
        <w:tc>
          <w:tcPr>
            <w:tcW w:w="2240" w:type="pct"/>
            <w:shd w:val="clear" w:color="auto" w:fill="auto"/>
          </w:tcPr>
          <w:p w14:paraId="345D13FF" w14:textId="77777777" w:rsidR="00EF35A8" w:rsidRDefault="00BE193C" w:rsidP="00A96769">
            <w:pPr>
              <w:rPr>
                <w:rFonts w:ascii="Arial" w:hAnsi="Arial" w:cs="Arial"/>
                <w:sz w:val="20"/>
                <w:szCs w:val="20"/>
              </w:rPr>
            </w:pPr>
            <w:r>
              <w:rPr>
                <w:rFonts w:ascii="Arial" w:hAnsi="Arial" w:cs="Arial"/>
                <w:sz w:val="20"/>
                <w:szCs w:val="20"/>
              </w:rPr>
              <w:lastRenderedPageBreak/>
              <w:t xml:space="preserve">Updated cost </w:t>
            </w:r>
            <w:r w:rsidR="00F75250">
              <w:rPr>
                <w:rFonts w:ascii="Arial" w:hAnsi="Arial" w:cs="Arial"/>
                <w:sz w:val="20"/>
                <w:szCs w:val="20"/>
              </w:rPr>
              <w:t>required by</w:t>
            </w:r>
            <w:r>
              <w:rPr>
                <w:rFonts w:ascii="Arial" w:hAnsi="Arial" w:cs="Arial"/>
                <w:sz w:val="20"/>
                <w:szCs w:val="20"/>
              </w:rPr>
              <w:t xml:space="preserve"> Resolution E-4952</w:t>
            </w:r>
            <w:r w:rsidR="00F75250">
              <w:rPr>
                <w:rFonts w:ascii="Arial" w:hAnsi="Arial" w:cs="Arial"/>
                <w:sz w:val="20"/>
                <w:szCs w:val="20"/>
              </w:rPr>
              <w:t xml:space="preserve"> and DEER 2019</w:t>
            </w:r>
            <w:r>
              <w:rPr>
                <w:rFonts w:ascii="Arial" w:hAnsi="Arial" w:cs="Arial"/>
                <w:sz w:val="20"/>
                <w:szCs w:val="20"/>
              </w:rPr>
              <w:t>. Included tubular LED lamps (</w:t>
            </w:r>
            <w:r w:rsidRPr="00BE193C">
              <w:rPr>
                <w:rFonts w:ascii="Arial" w:hAnsi="Arial" w:cs="Arial"/>
                <w:sz w:val="20"/>
                <w:szCs w:val="20"/>
              </w:rPr>
              <w:t>TLED</w:t>
            </w:r>
            <w:r w:rsidR="00671AE1">
              <w:rPr>
                <w:rFonts w:ascii="Arial" w:hAnsi="Arial" w:cs="Arial"/>
                <w:sz w:val="20"/>
                <w:szCs w:val="20"/>
              </w:rPr>
              <w:t>s</w:t>
            </w:r>
            <w:r w:rsidRPr="00BE193C">
              <w:rPr>
                <w:rFonts w:ascii="Arial" w:hAnsi="Arial" w:cs="Arial"/>
                <w:sz w:val="20"/>
                <w:szCs w:val="20"/>
              </w:rPr>
              <w:t xml:space="preserve">) in the base case cost and savings calculations. </w:t>
            </w:r>
            <w:r>
              <w:rPr>
                <w:rFonts w:ascii="Arial" w:hAnsi="Arial" w:cs="Arial"/>
                <w:sz w:val="20"/>
                <w:szCs w:val="20"/>
              </w:rPr>
              <w:t>Converted wattage bin</w:t>
            </w:r>
            <w:r w:rsidR="00794EF8">
              <w:rPr>
                <w:rFonts w:ascii="Arial" w:hAnsi="Arial" w:cs="Arial"/>
                <w:sz w:val="20"/>
                <w:szCs w:val="20"/>
              </w:rPr>
              <w:t xml:space="preserve"> measure</w:t>
            </w:r>
            <w:r>
              <w:rPr>
                <w:rFonts w:ascii="Arial" w:hAnsi="Arial" w:cs="Arial"/>
                <w:sz w:val="20"/>
                <w:szCs w:val="20"/>
              </w:rPr>
              <w:t xml:space="preserve"> structure to lumen bin </w:t>
            </w:r>
            <w:r w:rsidR="00794EF8">
              <w:rPr>
                <w:rFonts w:ascii="Arial" w:hAnsi="Arial" w:cs="Arial"/>
                <w:sz w:val="20"/>
                <w:szCs w:val="20"/>
              </w:rPr>
              <w:t xml:space="preserve">measure </w:t>
            </w:r>
            <w:r>
              <w:rPr>
                <w:rFonts w:ascii="Arial" w:hAnsi="Arial" w:cs="Arial"/>
                <w:sz w:val="20"/>
                <w:szCs w:val="20"/>
              </w:rPr>
              <w:t>structure.</w:t>
            </w:r>
            <w:r w:rsidR="00CA0D3D">
              <w:rPr>
                <w:rFonts w:ascii="Arial" w:hAnsi="Arial" w:cs="Arial"/>
                <w:sz w:val="20"/>
                <w:szCs w:val="20"/>
              </w:rPr>
              <w:t xml:space="preserve"> New Measure codes</w:t>
            </w:r>
            <w:r w:rsidR="004F2AC9">
              <w:rPr>
                <w:rFonts w:ascii="Arial" w:hAnsi="Arial" w:cs="Arial"/>
                <w:sz w:val="20"/>
                <w:szCs w:val="20"/>
              </w:rPr>
              <w:t xml:space="preserve"> LT514 – LT537</w:t>
            </w:r>
            <w:r w:rsidR="00CA0D3D">
              <w:rPr>
                <w:rFonts w:ascii="Arial" w:hAnsi="Arial" w:cs="Arial"/>
                <w:sz w:val="20"/>
                <w:szCs w:val="20"/>
              </w:rPr>
              <w:t>.</w:t>
            </w:r>
            <w:r w:rsidR="007D2501">
              <w:rPr>
                <w:rFonts w:ascii="Arial" w:hAnsi="Arial" w:cs="Arial"/>
                <w:sz w:val="20"/>
                <w:szCs w:val="20"/>
              </w:rPr>
              <w:t xml:space="preserve"> Removed New Construction MAT.</w:t>
            </w:r>
            <w:r w:rsidR="00A96769">
              <w:rPr>
                <w:rFonts w:ascii="Arial" w:hAnsi="Arial" w:cs="Arial"/>
                <w:sz w:val="20"/>
                <w:szCs w:val="20"/>
              </w:rPr>
              <w:t xml:space="preserve"> Measure will be effective 4/1/2019</w:t>
            </w:r>
            <w:r w:rsidR="00047F6F">
              <w:rPr>
                <w:rFonts w:ascii="Arial" w:hAnsi="Arial" w:cs="Arial"/>
                <w:sz w:val="20"/>
                <w:szCs w:val="20"/>
              </w:rPr>
              <w:t>.</w:t>
            </w:r>
          </w:p>
          <w:p w14:paraId="12C4EDE2" w14:textId="2EE11877" w:rsidR="00047F6F" w:rsidRPr="00047F6F" w:rsidRDefault="00047F6F" w:rsidP="00047F6F">
            <w:pPr>
              <w:rPr>
                <w:rFonts w:ascii="Arial" w:hAnsi="Arial" w:cs="Arial"/>
                <w:sz w:val="20"/>
                <w:szCs w:val="20"/>
              </w:rPr>
            </w:pPr>
            <w:r w:rsidRPr="00047F6F">
              <w:rPr>
                <w:rFonts w:ascii="Arial" w:hAnsi="Arial" w:cs="Arial"/>
                <w:sz w:val="20"/>
                <w:szCs w:val="20"/>
              </w:rPr>
              <w:lastRenderedPageBreak/>
              <w:t xml:space="preserve">Revised TLED </w:t>
            </w:r>
            <w:r w:rsidR="00732C21">
              <w:rPr>
                <w:rFonts w:ascii="Arial" w:hAnsi="Arial" w:cs="Arial"/>
                <w:sz w:val="20"/>
                <w:szCs w:val="20"/>
              </w:rPr>
              <w:t xml:space="preserve">lamp </w:t>
            </w:r>
            <w:r w:rsidRPr="00047F6F">
              <w:rPr>
                <w:rFonts w:ascii="Arial" w:hAnsi="Arial" w:cs="Arial"/>
                <w:sz w:val="20"/>
                <w:szCs w:val="20"/>
              </w:rPr>
              <w:t xml:space="preserve">efficacy </w:t>
            </w:r>
            <w:proofErr w:type="gramStart"/>
            <w:r w:rsidRPr="00047F6F">
              <w:rPr>
                <w:rFonts w:ascii="Arial" w:hAnsi="Arial" w:cs="Arial"/>
                <w:sz w:val="20"/>
                <w:szCs w:val="20"/>
              </w:rPr>
              <w:t>to 111 lm/W,</w:t>
            </w:r>
            <w:proofErr w:type="gramEnd"/>
            <w:r w:rsidRPr="00047F6F">
              <w:rPr>
                <w:rFonts w:ascii="Arial" w:hAnsi="Arial" w:cs="Arial"/>
                <w:sz w:val="20"/>
                <w:szCs w:val="20"/>
              </w:rPr>
              <w:t xml:space="preserve"> results in TLED fixture efficacy of 85.2 lm/W.</w:t>
            </w:r>
          </w:p>
          <w:p w14:paraId="099C9644" w14:textId="27E6ADBA" w:rsidR="00047F6F" w:rsidRPr="00E0642C" w:rsidRDefault="00047F6F" w:rsidP="00047F6F">
            <w:pPr>
              <w:rPr>
                <w:rFonts w:ascii="Arial" w:hAnsi="Arial" w:cs="Arial"/>
                <w:sz w:val="20"/>
                <w:szCs w:val="20"/>
              </w:rPr>
            </w:pPr>
            <w:r w:rsidRPr="00047F6F">
              <w:rPr>
                <w:rFonts w:ascii="Arial" w:hAnsi="Arial" w:cs="Arial"/>
                <w:sz w:val="20"/>
                <w:szCs w:val="20"/>
              </w:rPr>
              <w:t>Revised TLED cost from $0.0042/lm to $0.0036/lm.</w:t>
            </w:r>
          </w:p>
        </w:tc>
        <w:tc>
          <w:tcPr>
            <w:tcW w:w="1429" w:type="pct"/>
            <w:shd w:val="clear" w:color="auto" w:fill="auto"/>
          </w:tcPr>
          <w:p w14:paraId="590263CB" w14:textId="77777777" w:rsidR="00EF35A8" w:rsidRPr="00E37086" w:rsidRDefault="00BE193C">
            <w:pPr>
              <w:rPr>
                <w:rFonts w:ascii="Arial" w:hAnsi="Arial" w:cs="Arial"/>
                <w:sz w:val="20"/>
                <w:szCs w:val="20"/>
              </w:rPr>
            </w:pPr>
            <w:r w:rsidRPr="007B68E7">
              <w:rPr>
                <w:rFonts w:ascii="Arial" w:hAnsi="Arial" w:cs="Arial"/>
                <w:sz w:val="20"/>
                <w:szCs w:val="20"/>
              </w:rPr>
              <w:lastRenderedPageBreak/>
              <w:t>Greg Barker (Energy Solutions)</w:t>
            </w:r>
          </w:p>
          <w:p w14:paraId="6E94F99B" w14:textId="77777777" w:rsidR="00BE193C" w:rsidRDefault="00BE193C">
            <w:pPr>
              <w:rPr>
                <w:rFonts w:ascii="Arial" w:hAnsi="Arial" w:cs="Arial"/>
                <w:sz w:val="20"/>
                <w:szCs w:val="20"/>
              </w:rPr>
            </w:pPr>
            <w:r w:rsidRPr="007B68E7">
              <w:rPr>
                <w:rFonts w:ascii="Arial" w:hAnsi="Arial" w:cs="Arial"/>
                <w:sz w:val="20"/>
                <w:szCs w:val="20"/>
              </w:rPr>
              <w:t>Randy Kwok (PG&amp;E)</w:t>
            </w:r>
          </w:p>
          <w:p w14:paraId="6438AC23" w14:textId="77777777" w:rsidR="00047F6F" w:rsidRDefault="00047F6F">
            <w:pPr>
              <w:rPr>
                <w:rFonts w:ascii="Arial" w:hAnsi="Arial" w:cs="Arial"/>
                <w:sz w:val="20"/>
                <w:szCs w:val="20"/>
              </w:rPr>
            </w:pPr>
          </w:p>
          <w:p w14:paraId="6D30AC14" w14:textId="77777777" w:rsidR="00047F6F" w:rsidRDefault="00047F6F">
            <w:pPr>
              <w:rPr>
                <w:rFonts w:ascii="Arial" w:hAnsi="Arial" w:cs="Arial"/>
                <w:sz w:val="20"/>
                <w:szCs w:val="20"/>
              </w:rPr>
            </w:pPr>
          </w:p>
          <w:p w14:paraId="7F4674A5" w14:textId="77777777" w:rsidR="00047F6F" w:rsidRDefault="00047F6F">
            <w:pPr>
              <w:rPr>
                <w:rFonts w:ascii="Arial" w:hAnsi="Arial" w:cs="Arial"/>
                <w:sz w:val="20"/>
                <w:szCs w:val="20"/>
              </w:rPr>
            </w:pPr>
          </w:p>
          <w:p w14:paraId="4CF5E809" w14:textId="77777777" w:rsidR="00047F6F" w:rsidRDefault="00047F6F">
            <w:pPr>
              <w:rPr>
                <w:rFonts w:ascii="Arial" w:hAnsi="Arial" w:cs="Arial"/>
                <w:sz w:val="20"/>
                <w:szCs w:val="20"/>
              </w:rPr>
            </w:pPr>
          </w:p>
          <w:p w14:paraId="10D3721F" w14:textId="77777777" w:rsidR="00047F6F" w:rsidRDefault="00047F6F">
            <w:pPr>
              <w:rPr>
                <w:rFonts w:ascii="Arial" w:hAnsi="Arial" w:cs="Arial"/>
                <w:sz w:val="20"/>
                <w:szCs w:val="20"/>
              </w:rPr>
            </w:pPr>
          </w:p>
          <w:p w14:paraId="573D54FE" w14:textId="1ACDC25E" w:rsidR="00047F6F" w:rsidRPr="00E37086" w:rsidRDefault="00047F6F">
            <w:pPr>
              <w:rPr>
                <w:rFonts w:ascii="Arial" w:hAnsi="Arial" w:cs="Arial"/>
                <w:sz w:val="20"/>
                <w:szCs w:val="20"/>
              </w:rPr>
            </w:pPr>
            <w:r>
              <w:rPr>
                <w:rFonts w:ascii="Arial" w:hAnsi="Arial" w:cs="Arial"/>
                <w:sz w:val="20"/>
                <w:szCs w:val="20"/>
              </w:rPr>
              <w:lastRenderedPageBreak/>
              <w:t>Randy Kwok (PG&amp;E)</w:t>
            </w:r>
          </w:p>
        </w:tc>
      </w:tr>
    </w:tbl>
    <w:p w14:paraId="2A357FB5" w14:textId="71D4FB98" w:rsidR="00E71EF1" w:rsidRDefault="00E71EF1" w:rsidP="00127B4E">
      <w:pPr>
        <w:pStyle w:val="Heading1"/>
        <w:spacing w:before="120"/>
      </w:pPr>
      <w:bookmarkStart w:id="7" w:name="_Toc186621650"/>
      <w:bookmarkStart w:id="8" w:name="_Toc304800197"/>
      <w:r w:rsidRPr="006832A4">
        <w:lastRenderedPageBreak/>
        <w:br w:type="page"/>
      </w:r>
      <w:bookmarkStart w:id="9" w:name="_Toc511038023"/>
      <w:bookmarkStart w:id="10" w:name="_Toc2804896"/>
      <w:r w:rsidR="001248A3">
        <w:lastRenderedPageBreak/>
        <w:t>Table</w:t>
      </w:r>
      <w:r w:rsidR="006559C8">
        <w:t xml:space="preserve"> of Contents</w:t>
      </w:r>
      <w:bookmarkEnd w:id="7"/>
      <w:bookmarkEnd w:id="8"/>
      <w:bookmarkEnd w:id="9"/>
      <w:bookmarkEnd w:id="10"/>
    </w:p>
    <w:p w14:paraId="43CADFF5" w14:textId="77777777" w:rsidR="002803E7" w:rsidRDefault="009F6F8B">
      <w:pPr>
        <w:pStyle w:val="TOC1"/>
        <w:tabs>
          <w:tab w:val="right" w:leader="dot" w:pos="9350"/>
        </w:tabs>
        <w:rPr>
          <w:rFonts w:asciiTheme="minorHAnsi" w:eastAsiaTheme="minorEastAsia" w:hAnsiTheme="minorHAnsi" w:cstheme="minorBidi"/>
          <w:noProof/>
          <w:sz w:val="22"/>
          <w:szCs w:val="22"/>
        </w:rPr>
      </w:pPr>
      <w:r w:rsidRPr="1AA8F051">
        <w:rPr>
          <w:b/>
          <w:bCs/>
        </w:rPr>
        <w:fldChar w:fldCharType="begin"/>
      </w:r>
      <w:r>
        <w:rPr>
          <w:b/>
          <w:bCs/>
        </w:rPr>
        <w:instrText xml:space="preserve"> TOC \o "1-3" \h \z \u </w:instrText>
      </w:r>
      <w:r w:rsidRPr="1AA8F051">
        <w:rPr>
          <w:b/>
          <w:bCs/>
        </w:rPr>
        <w:fldChar w:fldCharType="separate"/>
      </w:r>
      <w:hyperlink w:anchor="_Toc2804894" w:history="1">
        <w:r w:rsidR="002803E7" w:rsidRPr="008F4BBD">
          <w:rPr>
            <w:rStyle w:val="Hyperlink"/>
            <w:noProof/>
          </w:rPr>
          <w:t>At-a-Glance Summary</w:t>
        </w:r>
        <w:r w:rsidR="002803E7">
          <w:rPr>
            <w:noProof/>
            <w:webHidden/>
          </w:rPr>
          <w:tab/>
        </w:r>
        <w:r w:rsidR="002803E7">
          <w:rPr>
            <w:noProof/>
            <w:webHidden/>
          </w:rPr>
          <w:fldChar w:fldCharType="begin"/>
        </w:r>
        <w:r w:rsidR="002803E7">
          <w:rPr>
            <w:noProof/>
            <w:webHidden/>
          </w:rPr>
          <w:instrText xml:space="preserve"> PAGEREF _Toc2804894 \h </w:instrText>
        </w:r>
        <w:r w:rsidR="002803E7">
          <w:rPr>
            <w:noProof/>
            <w:webHidden/>
          </w:rPr>
        </w:r>
        <w:r w:rsidR="002803E7">
          <w:rPr>
            <w:noProof/>
            <w:webHidden/>
          </w:rPr>
          <w:fldChar w:fldCharType="separate"/>
        </w:r>
        <w:r w:rsidR="002803E7">
          <w:rPr>
            <w:noProof/>
            <w:webHidden/>
          </w:rPr>
          <w:t>ii</w:t>
        </w:r>
        <w:r w:rsidR="002803E7">
          <w:rPr>
            <w:noProof/>
            <w:webHidden/>
          </w:rPr>
          <w:fldChar w:fldCharType="end"/>
        </w:r>
      </w:hyperlink>
    </w:p>
    <w:p w14:paraId="58FE9710" w14:textId="77777777" w:rsidR="002803E7" w:rsidRDefault="002803E7">
      <w:pPr>
        <w:pStyle w:val="TOC1"/>
        <w:tabs>
          <w:tab w:val="right" w:leader="dot" w:pos="9350"/>
        </w:tabs>
        <w:rPr>
          <w:rFonts w:asciiTheme="minorHAnsi" w:eastAsiaTheme="minorEastAsia" w:hAnsiTheme="minorHAnsi" w:cstheme="minorBidi"/>
          <w:noProof/>
          <w:sz w:val="22"/>
          <w:szCs w:val="22"/>
        </w:rPr>
      </w:pPr>
      <w:hyperlink w:anchor="_Toc2804895" w:history="1">
        <w:r w:rsidRPr="008F4BBD">
          <w:rPr>
            <w:rStyle w:val="Hyperlink"/>
            <w:noProof/>
          </w:rPr>
          <w:t>Document Revision History</w:t>
        </w:r>
        <w:r>
          <w:rPr>
            <w:noProof/>
            <w:webHidden/>
          </w:rPr>
          <w:tab/>
        </w:r>
        <w:r>
          <w:rPr>
            <w:noProof/>
            <w:webHidden/>
          </w:rPr>
          <w:fldChar w:fldCharType="begin"/>
        </w:r>
        <w:r>
          <w:rPr>
            <w:noProof/>
            <w:webHidden/>
          </w:rPr>
          <w:instrText xml:space="preserve"> PAGEREF _Toc2804895 \h </w:instrText>
        </w:r>
        <w:r>
          <w:rPr>
            <w:noProof/>
            <w:webHidden/>
          </w:rPr>
        </w:r>
        <w:r>
          <w:rPr>
            <w:noProof/>
            <w:webHidden/>
          </w:rPr>
          <w:fldChar w:fldCharType="separate"/>
        </w:r>
        <w:r>
          <w:rPr>
            <w:noProof/>
            <w:webHidden/>
          </w:rPr>
          <w:t>iii</w:t>
        </w:r>
        <w:r>
          <w:rPr>
            <w:noProof/>
            <w:webHidden/>
          </w:rPr>
          <w:fldChar w:fldCharType="end"/>
        </w:r>
      </w:hyperlink>
    </w:p>
    <w:p w14:paraId="39F63195" w14:textId="77777777" w:rsidR="002803E7" w:rsidRDefault="002803E7">
      <w:pPr>
        <w:pStyle w:val="TOC1"/>
        <w:tabs>
          <w:tab w:val="right" w:leader="dot" w:pos="9350"/>
        </w:tabs>
        <w:rPr>
          <w:rFonts w:asciiTheme="minorHAnsi" w:eastAsiaTheme="minorEastAsia" w:hAnsiTheme="minorHAnsi" w:cstheme="minorBidi"/>
          <w:noProof/>
          <w:sz w:val="22"/>
          <w:szCs w:val="22"/>
        </w:rPr>
      </w:pPr>
      <w:hyperlink w:anchor="_Toc2804896" w:history="1">
        <w:r w:rsidRPr="008F4BBD">
          <w:rPr>
            <w:rStyle w:val="Hyperlink"/>
            <w:noProof/>
          </w:rPr>
          <w:t>Table of Contents</w:t>
        </w:r>
        <w:r>
          <w:rPr>
            <w:noProof/>
            <w:webHidden/>
          </w:rPr>
          <w:tab/>
        </w:r>
        <w:r>
          <w:rPr>
            <w:noProof/>
            <w:webHidden/>
          </w:rPr>
          <w:fldChar w:fldCharType="begin"/>
        </w:r>
        <w:r>
          <w:rPr>
            <w:noProof/>
            <w:webHidden/>
          </w:rPr>
          <w:instrText xml:space="preserve"> PAGEREF _Toc2804896 \h </w:instrText>
        </w:r>
        <w:r>
          <w:rPr>
            <w:noProof/>
            <w:webHidden/>
          </w:rPr>
        </w:r>
        <w:r>
          <w:rPr>
            <w:noProof/>
            <w:webHidden/>
          </w:rPr>
          <w:fldChar w:fldCharType="separate"/>
        </w:r>
        <w:r>
          <w:rPr>
            <w:noProof/>
            <w:webHidden/>
          </w:rPr>
          <w:t>v</w:t>
        </w:r>
        <w:r>
          <w:rPr>
            <w:noProof/>
            <w:webHidden/>
          </w:rPr>
          <w:fldChar w:fldCharType="end"/>
        </w:r>
      </w:hyperlink>
    </w:p>
    <w:p w14:paraId="34D8E2C4" w14:textId="77777777" w:rsidR="002803E7" w:rsidRDefault="002803E7">
      <w:pPr>
        <w:pStyle w:val="TOC1"/>
        <w:tabs>
          <w:tab w:val="right" w:leader="dot" w:pos="9350"/>
        </w:tabs>
        <w:rPr>
          <w:rFonts w:asciiTheme="minorHAnsi" w:eastAsiaTheme="minorEastAsia" w:hAnsiTheme="minorHAnsi" w:cstheme="minorBidi"/>
          <w:noProof/>
          <w:sz w:val="22"/>
          <w:szCs w:val="22"/>
        </w:rPr>
      </w:pPr>
      <w:hyperlink w:anchor="_Toc2804897" w:history="1">
        <w:r w:rsidRPr="008F4BBD">
          <w:rPr>
            <w:rStyle w:val="Hyperlink"/>
            <w:noProof/>
          </w:rPr>
          <w:t>List of Tables</w:t>
        </w:r>
        <w:r>
          <w:rPr>
            <w:noProof/>
            <w:webHidden/>
          </w:rPr>
          <w:tab/>
        </w:r>
        <w:r>
          <w:rPr>
            <w:noProof/>
            <w:webHidden/>
          </w:rPr>
          <w:fldChar w:fldCharType="begin"/>
        </w:r>
        <w:r>
          <w:rPr>
            <w:noProof/>
            <w:webHidden/>
          </w:rPr>
          <w:instrText xml:space="preserve"> PAGEREF _Toc2804897 \h </w:instrText>
        </w:r>
        <w:r>
          <w:rPr>
            <w:noProof/>
            <w:webHidden/>
          </w:rPr>
        </w:r>
        <w:r>
          <w:rPr>
            <w:noProof/>
            <w:webHidden/>
          </w:rPr>
          <w:fldChar w:fldCharType="separate"/>
        </w:r>
        <w:r>
          <w:rPr>
            <w:noProof/>
            <w:webHidden/>
          </w:rPr>
          <w:t>vi</w:t>
        </w:r>
        <w:r>
          <w:rPr>
            <w:noProof/>
            <w:webHidden/>
          </w:rPr>
          <w:fldChar w:fldCharType="end"/>
        </w:r>
      </w:hyperlink>
    </w:p>
    <w:p w14:paraId="7F805789" w14:textId="77777777" w:rsidR="002803E7" w:rsidRDefault="002803E7">
      <w:pPr>
        <w:pStyle w:val="TOC1"/>
        <w:tabs>
          <w:tab w:val="right" w:leader="dot" w:pos="9350"/>
        </w:tabs>
        <w:rPr>
          <w:rFonts w:asciiTheme="minorHAnsi" w:eastAsiaTheme="minorEastAsia" w:hAnsiTheme="minorHAnsi" w:cstheme="minorBidi"/>
          <w:noProof/>
          <w:sz w:val="22"/>
          <w:szCs w:val="22"/>
        </w:rPr>
      </w:pPr>
      <w:hyperlink w:anchor="_Toc2804898" w:history="1">
        <w:r w:rsidRPr="008F4BBD">
          <w:rPr>
            <w:rStyle w:val="Hyperlink"/>
            <w:noProof/>
          </w:rPr>
          <w:t>List of Figures</w:t>
        </w:r>
        <w:r>
          <w:rPr>
            <w:noProof/>
            <w:webHidden/>
          </w:rPr>
          <w:tab/>
        </w:r>
        <w:r>
          <w:rPr>
            <w:noProof/>
            <w:webHidden/>
          </w:rPr>
          <w:fldChar w:fldCharType="begin"/>
        </w:r>
        <w:r>
          <w:rPr>
            <w:noProof/>
            <w:webHidden/>
          </w:rPr>
          <w:instrText xml:space="preserve"> PAGEREF _Toc2804898 \h </w:instrText>
        </w:r>
        <w:r>
          <w:rPr>
            <w:noProof/>
            <w:webHidden/>
          </w:rPr>
        </w:r>
        <w:r>
          <w:rPr>
            <w:noProof/>
            <w:webHidden/>
          </w:rPr>
          <w:fldChar w:fldCharType="separate"/>
        </w:r>
        <w:r>
          <w:rPr>
            <w:noProof/>
            <w:webHidden/>
          </w:rPr>
          <w:t>6</w:t>
        </w:r>
        <w:r>
          <w:rPr>
            <w:noProof/>
            <w:webHidden/>
          </w:rPr>
          <w:fldChar w:fldCharType="end"/>
        </w:r>
      </w:hyperlink>
    </w:p>
    <w:p w14:paraId="79AB16E8" w14:textId="77777777" w:rsidR="002803E7" w:rsidRDefault="002803E7">
      <w:pPr>
        <w:pStyle w:val="TOC2"/>
        <w:tabs>
          <w:tab w:val="right" w:leader="dot" w:pos="9350"/>
        </w:tabs>
        <w:rPr>
          <w:rFonts w:asciiTheme="minorHAnsi" w:eastAsiaTheme="minorEastAsia" w:hAnsiTheme="minorHAnsi" w:cstheme="minorBidi"/>
          <w:noProof/>
          <w:sz w:val="22"/>
          <w:szCs w:val="22"/>
        </w:rPr>
      </w:pPr>
      <w:hyperlink w:anchor="_Toc2804899" w:history="1">
        <w:r w:rsidRPr="008F4BBD">
          <w:rPr>
            <w:rStyle w:val="Hyperlink"/>
            <w:noProof/>
          </w:rPr>
          <w:t>1.1 Measure Description &amp; Background</w:t>
        </w:r>
        <w:r>
          <w:rPr>
            <w:noProof/>
            <w:webHidden/>
          </w:rPr>
          <w:tab/>
        </w:r>
        <w:r>
          <w:rPr>
            <w:noProof/>
            <w:webHidden/>
          </w:rPr>
          <w:fldChar w:fldCharType="begin"/>
        </w:r>
        <w:r>
          <w:rPr>
            <w:noProof/>
            <w:webHidden/>
          </w:rPr>
          <w:instrText xml:space="preserve"> PAGEREF _Toc2804899 \h </w:instrText>
        </w:r>
        <w:r>
          <w:rPr>
            <w:noProof/>
            <w:webHidden/>
          </w:rPr>
        </w:r>
        <w:r>
          <w:rPr>
            <w:noProof/>
            <w:webHidden/>
          </w:rPr>
          <w:fldChar w:fldCharType="separate"/>
        </w:r>
        <w:r>
          <w:rPr>
            <w:noProof/>
            <w:webHidden/>
          </w:rPr>
          <w:t>2</w:t>
        </w:r>
        <w:r>
          <w:rPr>
            <w:noProof/>
            <w:webHidden/>
          </w:rPr>
          <w:fldChar w:fldCharType="end"/>
        </w:r>
      </w:hyperlink>
    </w:p>
    <w:p w14:paraId="339AB0F4" w14:textId="77777777" w:rsidR="002803E7" w:rsidRDefault="002803E7">
      <w:pPr>
        <w:pStyle w:val="TOC2"/>
        <w:tabs>
          <w:tab w:val="right" w:leader="dot" w:pos="9350"/>
        </w:tabs>
        <w:rPr>
          <w:rFonts w:asciiTheme="minorHAnsi" w:eastAsiaTheme="minorEastAsia" w:hAnsiTheme="minorHAnsi" w:cstheme="minorBidi"/>
          <w:noProof/>
          <w:sz w:val="22"/>
          <w:szCs w:val="22"/>
        </w:rPr>
      </w:pPr>
      <w:hyperlink w:anchor="_Toc2804900" w:history="1">
        <w:r w:rsidRPr="008F4BBD">
          <w:rPr>
            <w:rStyle w:val="Hyperlink"/>
            <w:noProof/>
          </w:rPr>
          <w:t>1.2 Technical Description</w:t>
        </w:r>
        <w:r>
          <w:rPr>
            <w:noProof/>
            <w:webHidden/>
          </w:rPr>
          <w:tab/>
        </w:r>
        <w:r>
          <w:rPr>
            <w:noProof/>
            <w:webHidden/>
          </w:rPr>
          <w:fldChar w:fldCharType="begin"/>
        </w:r>
        <w:r>
          <w:rPr>
            <w:noProof/>
            <w:webHidden/>
          </w:rPr>
          <w:instrText xml:space="preserve"> PAGEREF _Toc2804900 \h </w:instrText>
        </w:r>
        <w:r>
          <w:rPr>
            <w:noProof/>
            <w:webHidden/>
          </w:rPr>
        </w:r>
        <w:r>
          <w:rPr>
            <w:noProof/>
            <w:webHidden/>
          </w:rPr>
          <w:fldChar w:fldCharType="separate"/>
        </w:r>
        <w:r>
          <w:rPr>
            <w:noProof/>
            <w:webHidden/>
          </w:rPr>
          <w:t>5</w:t>
        </w:r>
        <w:r>
          <w:rPr>
            <w:noProof/>
            <w:webHidden/>
          </w:rPr>
          <w:fldChar w:fldCharType="end"/>
        </w:r>
      </w:hyperlink>
    </w:p>
    <w:p w14:paraId="50833F0E" w14:textId="77777777" w:rsidR="002803E7" w:rsidRDefault="002803E7">
      <w:pPr>
        <w:pStyle w:val="TOC2"/>
        <w:tabs>
          <w:tab w:val="right" w:leader="dot" w:pos="9350"/>
        </w:tabs>
        <w:rPr>
          <w:rFonts w:asciiTheme="minorHAnsi" w:eastAsiaTheme="minorEastAsia" w:hAnsiTheme="minorHAnsi" w:cstheme="minorBidi"/>
          <w:noProof/>
          <w:sz w:val="22"/>
          <w:szCs w:val="22"/>
        </w:rPr>
      </w:pPr>
      <w:hyperlink w:anchor="_Toc2804901" w:history="1">
        <w:r w:rsidRPr="008F4BBD">
          <w:rPr>
            <w:rStyle w:val="Hyperlink"/>
            <w:noProof/>
          </w:rPr>
          <w:t>1.3 Installation Types and Delivery Mechanisms</w:t>
        </w:r>
        <w:r>
          <w:rPr>
            <w:noProof/>
            <w:webHidden/>
          </w:rPr>
          <w:tab/>
        </w:r>
        <w:r>
          <w:rPr>
            <w:noProof/>
            <w:webHidden/>
          </w:rPr>
          <w:fldChar w:fldCharType="begin"/>
        </w:r>
        <w:r>
          <w:rPr>
            <w:noProof/>
            <w:webHidden/>
          </w:rPr>
          <w:instrText xml:space="preserve"> PAGEREF _Toc2804901 \h </w:instrText>
        </w:r>
        <w:r>
          <w:rPr>
            <w:noProof/>
            <w:webHidden/>
          </w:rPr>
        </w:r>
        <w:r>
          <w:rPr>
            <w:noProof/>
            <w:webHidden/>
          </w:rPr>
          <w:fldChar w:fldCharType="separate"/>
        </w:r>
        <w:r>
          <w:rPr>
            <w:noProof/>
            <w:webHidden/>
          </w:rPr>
          <w:t>6</w:t>
        </w:r>
        <w:r>
          <w:rPr>
            <w:noProof/>
            <w:webHidden/>
          </w:rPr>
          <w:fldChar w:fldCharType="end"/>
        </w:r>
      </w:hyperlink>
    </w:p>
    <w:p w14:paraId="5616E1B0" w14:textId="77777777" w:rsidR="002803E7" w:rsidRDefault="002803E7">
      <w:pPr>
        <w:pStyle w:val="TOC2"/>
        <w:tabs>
          <w:tab w:val="right" w:leader="dot" w:pos="9350"/>
        </w:tabs>
        <w:rPr>
          <w:rFonts w:asciiTheme="minorHAnsi" w:eastAsiaTheme="minorEastAsia" w:hAnsiTheme="minorHAnsi" w:cstheme="minorBidi"/>
          <w:noProof/>
          <w:sz w:val="22"/>
          <w:szCs w:val="22"/>
        </w:rPr>
      </w:pPr>
      <w:hyperlink w:anchor="_Toc2804902" w:history="1">
        <w:r w:rsidRPr="008F4BBD">
          <w:rPr>
            <w:rStyle w:val="Hyperlink"/>
            <w:noProof/>
          </w:rPr>
          <w:t>1.4 Product Base Case and Measure Data</w:t>
        </w:r>
        <w:r>
          <w:rPr>
            <w:noProof/>
            <w:webHidden/>
          </w:rPr>
          <w:tab/>
        </w:r>
        <w:r>
          <w:rPr>
            <w:noProof/>
            <w:webHidden/>
          </w:rPr>
          <w:fldChar w:fldCharType="begin"/>
        </w:r>
        <w:r>
          <w:rPr>
            <w:noProof/>
            <w:webHidden/>
          </w:rPr>
          <w:instrText xml:space="preserve"> PAGEREF _Toc2804902 \h </w:instrText>
        </w:r>
        <w:r>
          <w:rPr>
            <w:noProof/>
            <w:webHidden/>
          </w:rPr>
        </w:r>
        <w:r>
          <w:rPr>
            <w:noProof/>
            <w:webHidden/>
          </w:rPr>
          <w:fldChar w:fldCharType="separate"/>
        </w:r>
        <w:r>
          <w:rPr>
            <w:noProof/>
            <w:webHidden/>
          </w:rPr>
          <w:t>6</w:t>
        </w:r>
        <w:r>
          <w:rPr>
            <w:noProof/>
            <w:webHidden/>
          </w:rPr>
          <w:fldChar w:fldCharType="end"/>
        </w:r>
      </w:hyperlink>
    </w:p>
    <w:p w14:paraId="46DD0277" w14:textId="77777777" w:rsidR="002803E7" w:rsidRDefault="002803E7">
      <w:pPr>
        <w:pStyle w:val="TOC3"/>
        <w:rPr>
          <w:rFonts w:asciiTheme="minorHAnsi" w:eastAsiaTheme="minorEastAsia" w:hAnsiTheme="minorHAnsi" w:cstheme="minorBidi"/>
          <w:noProof/>
          <w:sz w:val="22"/>
          <w:szCs w:val="22"/>
        </w:rPr>
      </w:pPr>
      <w:hyperlink w:anchor="_Toc2804903" w:history="1">
        <w:r w:rsidRPr="008F4BBD">
          <w:rPr>
            <w:rStyle w:val="Hyperlink"/>
            <w:noProof/>
          </w:rPr>
          <w:t>1.4.1 DEER Data</w:t>
        </w:r>
        <w:r>
          <w:rPr>
            <w:noProof/>
            <w:webHidden/>
          </w:rPr>
          <w:tab/>
        </w:r>
        <w:r>
          <w:rPr>
            <w:noProof/>
            <w:webHidden/>
          </w:rPr>
          <w:fldChar w:fldCharType="begin"/>
        </w:r>
        <w:r>
          <w:rPr>
            <w:noProof/>
            <w:webHidden/>
          </w:rPr>
          <w:instrText xml:space="preserve"> PAGEREF _Toc2804903 \h </w:instrText>
        </w:r>
        <w:r>
          <w:rPr>
            <w:noProof/>
            <w:webHidden/>
          </w:rPr>
        </w:r>
        <w:r>
          <w:rPr>
            <w:noProof/>
            <w:webHidden/>
          </w:rPr>
          <w:fldChar w:fldCharType="separate"/>
        </w:r>
        <w:r>
          <w:rPr>
            <w:noProof/>
            <w:webHidden/>
          </w:rPr>
          <w:t>6</w:t>
        </w:r>
        <w:r>
          <w:rPr>
            <w:noProof/>
            <w:webHidden/>
          </w:rPr>
          <w:fldChar w:fldCharType="end"/>
        </w:r>
      </w:hyperlink>
    </w:p>
    <w:p w14:paraId="27B46DCB" w14:textId="77777777" w:rsidR="002803E7" w:rsidRDefault="002803E7">
      <w:pPr>
        <w:pStyle w:val="TOC2"/>
        <w:tabs>
          <w:tab w:val="right" w:leader="dot" w:pos="9350"/>
        </w:tabs>
        <w:rPr>
          <w:rFonts w:asciiTheme="minorHAnsi" w:eastAsiaTheme="minorEastAsia" w:hAnsiTheme="minorHAnsi" w:cstheme="minorBidi"/>
          <w:noProof/>
          <w:sz w:val="22"/>
          <w:szCs w:val="22"/>
        </w:rPr>
      </w:pPr>
      <w:hyperlink w:anchor="_Toc2804904" w:history="1">
        <w:r w:rsidRPr="008F4BBD">
          <w:rPr>
            <w:rStyle w:val="Hyperlink"/>
            <w:noProof/>
          </w:rPr>
          <w:t>1.5 EM&amp;V, Market Potential, and Other Studies – Base Case and Measure Case Information</w:t>
        </w:r>
        <w:r>
          <w:rPr>
            <w:noProof/>
            <w:webHidden/>
          </w:rPr>
          <w:tab/>
        </w:r>
        <w:r>
          <w:rPr>
            <w:noProof/>
            <w:webHidden/>
          </w:rPr>
          <w:fldChar w:fldCharType="begin"/>
        </w:r>
        <w:r>
          <w:rPr>
            <w:noProof/>
            <w:webHidden/>
          </w:rPr>
          <w:instrText xml:space="preserve"> PAGEREF _Toc2804904 \h </w:instrText>
        </w:r>
        <w:r>
          <w:rPr>
            <w:noProof/>
            <w:webHidden/>
          </w:rPr>
        </w:r>
        <w:r>
          <w:rPr>
            <w:noProof/>
            <w:webHidden/>
          </w:rPr>
          <w:fldChar w:fldCharType="separate"/>
        </w:r>
        <w:r>
          <w:rPr>
            <w:noProof/>
            <w:webHidden/>
          </w:rPr>
          <w:t>8</w:t>
        </w:r>
        <w:r>
          <w:rPr>
            <w:noProof/>
            <w:webHidden/>
          </w:rPr>
          <w:fldChar w:fldCharType="end"/>
        </w:r>
      </w:hyperlink>
    </w:p>
    <w:p w14:paraId="4FE4C110" w14:textId="77777777" w:rsidR="002803E7" w:rsidRDefault="002803E7">
      <w:pPr>
        <w:pStyle w:val="TOC3"/>
        <w:rPr>
          <w:rFonts w:asciiTheme="minorHAnsi" w:eastAsiaTheme="minorEastAsia" w:hAnsiTheme="minorHAnsi" w:cstheme="minorBidi"/>
          <w:noProof/>
          <w:sz w:val="22"/>
          <w:szCs w:val="22"/>
        </w:rPr>
      </w:pPr>
      <w:hyperlink w:anchor="_Toc2804905" w:history="1">
        <w:r w:rsidRPr="008F4BBD">
          <w:rPr>
            <w:rStyle w:val="Hyperlink"/>
            <w:noProof/>
          </w:rPr>
          <w:t>1.5.1 Lighting Dispositions</w:t>
        </w:r>
        <w:r>
          <w:rPr>
            <w:noProof/>
            <w:webHidden/>
          </w:rPr>
          <w:tab/>
        </w:r>
        <w:r>
          <w:rPr>
            <w:noProof/>
            <w:webHidden/>
          </w:rPr>
          <w:fldChar w:fldCharType="begin"/>
        </w:r>
        <w:r>
          <w:rPr>
            <w:noProof/>
            <w:webHidden/>
          </w:rPr>
          <w:instrText xml:space="preserve"> PAGEREF _Toc2804905 \h </w:instrText>
        </w:r>
        <w:r>
          <w:rPr>
            <w:noProof/>
            <w:webHidden/>
          </w:rPr>
        </w:r>
        <w:r>
          <w:rPr>
            <w:noProof/>
            <w:webHidden/>
          </w:rPr>
          <w:fldChar w:fldCharType="separate"/>
        </w:r>
        <w:r>
          <w:rPr>
            <w:noProof/>
            <w:webHidden/>
          </w:rPr>
          <w:t>8</w:t>
        </w:r>
        <w:r>
          <w:rPr>
            <w:noProof/>
            <w:webHidden/>
          </w:rPr>
          <w:fldChar w:fldCharType="end"/>
        </w:r>
      </w:hyperlink>
    </w:p>
    <w:p w14:paraId="15CF651F" w14:textId="77777777" w:rsidR="002803E7" w:rsidRDefault="002803E7">
      <w:pPr>
        <w:pStyle w:val="TOC3"/>
        <w:rPr>
          <w:rFonts w:asciiTheme="minorHAnsi" w:eastAsiaTheme="minorEastAsia" w:hAnsiTheme="minorHAnsi" w:cstheme="minorBidi"/>
          <w:noProof/>
          <w:sz w:val="22"/>
          <w:szCs w:val="22"/>
        </w:rPr>
      </w:pPr>
      <w:hyperlink w:anchor="_Toc2804906" w:history="1">
        <w:r w:rsidRPr="008F4BBD">
          <w:rPr>
            <w:rStyle w:val="Hyperlink"/>
            <w:noProof/>
          </w:rPr>
          <w:t>1.5.2 California LED Pricing Analysis, Navigant 2018</w:t>
        </w:r>
        <w:r>
          <w:rPr>
            <w:noProof/>
            <w:webHidden/>
          </w:rPr>
          <w:tab/>
        </w:r>
        <w:r>
          <w:rPr>
            <w:noProof/>
            <w:webHidden/>
          </w:rPr>
          <w:fldChar w:fldCharType="begin"/>
        </w:r>
        <w:r>
          <w:rPr>
            <w:noProof/>
            <w:webHidden/>
          </w:rPr>
          <w:instrText xml:space="preserve"> PAGEREF _Toc2804906 \h </w:instrText>
        </w:r>
        <w:r>
          <w:rPr>
            <w:noProof/>
            <w:webHidden/>
          </w:rPr>
        </w:r>
        <w:r>
          <w:rPr>
            <w:noProof/>
            <w:webHidden/>
          </w:rPr>
          <w:fldChar w:fldCharType="separate"/>
        </w:r>
        <w:r>
          <w:rPr>
            <w:noProof/>
            <w:webHidden/>
          </w:rPr>
          <w:t>9</w:t>
        </w:r>
        <w:r>
          <w:rPr>
            <w:noProof/>
            <w:webHidden/>
          </w:rPr>
          <w:fldChar w:fldCharType="end"/>
        </w:r>
      </w:hyperlink>
    </w:p>
    <w:p w14:paraId="506715BA" w14:textId="77777777" w:rsidR="002803E7" w:rsidRDefault="002803E7">
      <w:pPr>
        <w:pStyle w:val="TOC3"/>
        <w:rPr>
          <w:rFonts w:asciiTheme="minorHAnsi" w:eastAsiaTheme="minorEastAsia" w:hAnsiTheme="minorHAnsi" w:cstheme="minorBidi"/>
          <w:noProof/>
          <w:sz w:val="22"/>
          <w:szCs w:val="22"/>
        </w:rPr>
      </w:pPr>
      <w:hyperlink w:anchor="_Toc2804907" w:history="1">
        <w:r w:rsidRPr="008F4BBD">
          <w:rPr>
            <w:rStyle w:val="Hyperlink"/>
            <w:noProof/>
          </w:rPr>
          <w:t>1.5.3 LED Workpaper Update Study, Navigant 2015</w:t>
        </w:r>
        <w:r>
          <w:rPr>
            <w:noProof/>
            <w:webHidden/>
          </w:rPr>
          <w:tab/>
        </w:r>
        <w:r>
          <w:rPr>
            <w:noProof/>
            <w:webHidden/>
          </w:rPr>
          <w:fldChar w:fldCharType="begin"/>
        </w:r>
        <w:r>
          <w:rPr>
            <w:noProof/>
            <w:webHidden/>
          </w:rPr>
          <w:instrText xml:space="preserve"> PAGEREF _Toc2804907 \h </w:instrText>
        </w:r>
        <w:r>
          <w:rPr>
            <w:noProof/>
            <w:webHidden/>
          </w:rPr>
        </w:r>
        <w:r>
          <w:rPr>
            <w:noProof/>
            <w:webHidden/>
          </w:rPr>
          <w:fldChar w:fldCharType="separate"/>
        </w:r>
        <w:r>
          <w:rPr>
            <w:noProof/>
            <w:webHidden/>
          </w:rPr>
          <w:t>11</w:t>
        </w:r>
        <w:r>
          <w:rPr>
            <w:noProof/>
            <w:webHidden/>
          </w:rPr>
          <w:fldChar w:fldCharType="end"/>
        </w:r>
      </w:hyperlink>
    </w:p>
    <w:p w14:paraId="1DB954A4" w14:textId="77777777" w:rsidR="002803E7" w:rsidRDefault="002803E7">
      <w:pPr>
        <w:pStyle w:val="TOC3"/>
        <w:rPr>
          <w:rFonts w:asciiTheme="minorHAnsi" w:eastAsiaTheme="minorEastAsia" w:hAnsiTheme="minorHAnsi" w:cstheme="minorBidi"/>
          <w:noProof/>
          <w:sz w:val="22"/>
          <w:szCs w:val="22"/>
        </w:rPr>
      </w:pPr>
      <w:hyperlink w:anchor="_Toc2804908" w:history="1">
        <w:r w:rsidRPr="008F4BBD">
          <w:rPr>
            <w:rStyle w:val="Hyperlink"/>
            <w:noProof/>
          </w:rPr>
          <w:t>1.5.4 LED Non-Residential Lighting Market Characterization, Navigant – In Progress</w:t>
        </w:r>
        <w:r>
          <w:rPr>
            <w:noProof/>
            <w:webHidden/>
          </w:rPr>
          <w:tab/>
        </w:r>
        <w:r>
          <w:rPr>
            <w:noProof/>
            <w:webHidden/>
          </w:rPr>
          <w:fldChar w:fldCharType="begin"/>
        </w:r>
        <w:r>
          <w:rPr>
            <w:noProof/>
            <w:webHidden/>
          </w:rPr>
          <w:instrText xml:space="preserve"> PAGEREF _Toc2804908 \h </w:instrText>
        </w:r>
        <w:r>
          <w:rPr>
            <w:noProof/>
            <w:webHidden/>
          </w:rPr>
        </w:r>
        <w:r>
          <w:rPr>
            <w:noProof/>
            <w:webHidden/>
          </w:rPr>
          <w:fldChar w:fldCharType="separate"/>
        </w:r>
        <w:r>
          <w:rPr>
            <w:noProof/>
            <w:webHidden/>
          </w:rPr>
          <w:t>13</w:t>
        </w:r>
        <w:r>
          <w:rPr>
            <w:noProof/>
            <w:webHidden/>
          </w:rPr>
          <w:fldChar w:fldCharType="end"/>
        </w:r>
      </w:hyperlink>
    </w:p>
    <w:p w14:paraId="69F0E9C6" w14:textId="77777777" w:rsidR="002803E7" w:rsidRDefault="002803E7">
      <w:pPr>
        <w:pStyle w:val="TOC3"/>
        <w:rPr>
          <w:rFonts w:asciiTheme="minorHAnsi" w:eastAsiaTheme="minorEastAsia" w:hAnsiTheme="minorHAnsi" w:cstheme="minorBidi"/>
          <w:noProof/>
          <w:sz w:val="22"/>
          <w:szCs w:val="22"/>
        </w:rPr>
      </w:pPr>
      <w:hyperlink w:anchor="_Toc2804909" w:history="1">
        <w:r w:rsidRPr="008F4BBD">
          <w:rPr>
            <w:rStyle w:val="Hyperlink"/>
            <w:noProof/>
          </w:rPr>
          <w:t>1.5.5 TLED Baseline</w:t>
        </w:r>
        <w:r>
          <w:rPr>
            <w:noProof/>
            <w:webHidden/>
          </w:rPr>
          <w:tab/>
        </w:r>
        <w:r>
          <w:rPr>
            <w:noProof/>
            <w:webHidden/>
          </w:rPr>
          <w:fldChar w:fldCharType="begin"/>
        </w:r>
        <w:r>
          <w:rPr>
            <w:noProof/>
            <w:webHidden/>
          </w:rPr>
          <w:instrText xml:space="preserve"> PAGEREF _Toc2804909 \h </w:instrText>
        </w:r>
        <w:r>
          <w:rPr>
            <w:noProof/>
            <w:webHidden/>
          </w:rPr>
        </w:r>
        <w:r>
          <w:rPr>
            <w:noProof/>
            <w:webHidden/>
          </w:rPr>
          <w:fldChar w:fldCharType="separate"/>
        </w:r>
        <w:r>
          <w:rPr>
            <w:noProof/>
            <w:webHidden/>
          </w:rPr>
          <w:t>13</w:t>
        </w:r>
        <w:r>
          <w:rPr>
            <w:noProof/>
            <w:webHidden/>
          </w:rPr>
          <w:fldChar w:fldCharType="end"/>
        </w:r>
      </w:hyperlink>
    </w:p>
    <w:p w14:paraId="5A4534BC" w14:textId="77777777" w:rsidR="002803E7" w:rsidRDefault="002803E7">
      <w:pPr>
        <w:pStyle w:val="TOC3"/>
        <w:rPr>
          <w:rFonts w:asciiTheme="minorHAnsi" w:eastAsiaTheme="minorEastAsia" w:hAnsiTheme="minorHAnsi" w:cstheme="minorBidi"/>
          <w:noProof/>
          <w:sz w:val="22"/>
          <w:szCs w:val="22"/>
        </w:rPr>
      </w:pPr>
      <w:hyperlink w:anchor="_Toc2804910" w:history="1">
        <w:r w:rsidRPr="008F4BBD">
          <w:rPr>
            <w:rStyle w:val="Hyperlink"/>
            <w:noProof/>
          </w:rPr>
          <w:t>1.5.6 CALiPER Snapshot Report June 17, 2016:</w:t>
        </w:r>
        <w:r>
          <w:rPr>
            <w:noProof/>
            <w:webHidden/>
          </w:rPr>
          <w:tab/>
        </w:r>
        <w:r>
          <w:rPr>
            <w:noProof/>
            <w:webHidden/>
          </w:rPr>
          <w:fldChar w:fldCharType="begin"/>
        </w:r>
        <w:r>
          <w:rPr>
            <w:noProof/>
            <w:webHidden/>
          </w:rPr>
          <w:instrText xml:space="preserve"> PAGEREF _Toc2804910 \h </w:instrText>
        </w:r>
        <w:r>
          <w:rPr>
            <w:noProof/>
            <w:webHidden/>
          </w:rPr>
        </w:r>
        <w:r>
          <w:rPr>
            <w:noProof/>
            <w:webHidden/>
          </w:rPr>
          <w:fldChar w:fldCharType="separate"/>
        </w:r>
        <w:r>
          <w:rPr>
            <w:noProof/>
            <w:webHidden/>
          </w:rPr>
          <w:t>16</w:t>
        </w:r>
        <w:r>
          <w:rPr>
            <w:noProof/>
            <w:webHidden/>
          </w:rPr>
          <w:fldChar w:fldCharType="end"/>
        </w:r>
      </w:hyperlink>
    </w:p>
    <w:p w14:paraId="2C04E80A" w14:textId="77777777" w:rsidR="002803E7" w:rsidRDefault="002803E7">
      <w:pPr>
        <w:pStyle w:val="TOC3"/>
        <w:rPr>
          <w:rFonts w:asciiTheme="minorHAnsi" w:eastAsiaTheme="minorEastAsia" w:hAnsiTheme="minorHAnsi" w:cstheme="minorBidi"/>
          <w:noProof/>
          <w:sz w:val="22"/>
          <w:szCs w:val="22"/>
        </w:rPr>
      </w:pPr>
      <w:hyperlink w:anchor="_Toc2804911" w:history="1">
        <w:r w:rsidRPr="008F4BBD">
          <w:rPr>
            <w:rStyle w:val="Hyperlink"/>
            <w:noProof/>
          </w:rPr>
          <w:t>1.5.7 CALiPER Summary Report October, 2011:</w:t>
        </w:r>
        <w:r>
          <w:rPr>
            <w:noProof/>
            <w:webHidden/>
          </w:rPr>
          <w:tab/>
        </w:r>
        <w:r>
          <w:rPr>
            <w:noProof/>
            <w:webHidden/>
          </w:rPr>
          <w:fldChar w:fldCharType="begin"/>
        </w:r>
        <w:r>
          <w:rPr>
            <w:noProof/>
            <w:webHidden/>
          </w:rPr>
          <w:instrText xml:space="preserve"> PAGEREF _Toc2804911 \h </w:instrText>
        </w:r>
        <w:r>
          <w:rPr>
            <w:noProof/>
            <w:webHidden/>
          </w:rPr>
        </w:r>
        <w:r>
          <w:rPr>
            <w:noProof/>
            <w:webHidden/>
          </w:rPr>
          <w:fldChar w:fldCharType="separate"/>
        </w:r>
        <w:r>
          <w:rPr>
            <w:noProof/>
            <w:webHidden/>
          </w:rPr>
          <w:t>17</w:t>
        </w:r>
        <w:r>
          <w:rPr>
            <w:noProof/>
            <w:webHidden/>
          </w:rPr>
          <w:fldChar w:fldCharType="end"/>
        </w:r>
      </w:hyperlink>
    </w:p>
    <w:p w14:paraId="53469602" w14:textId="77777777" w:rsidR="002803E7" w:rsidRDefault="002803E7">
      <w:pPr>
        <w:pStyle w:val="TOC2"/>
        <w:tabs>
          <w:tab w:val="right" w:leader="dot" w:pos="9350"/>
        </w:tabs>
        <w:rPr>
          <w:rFonts w:asciiTheme="minorHAnsi" w:eastAsiaTheme="minorEastAsia" w:hAnsiTheme="minorHAnsi" w:cstheme="minorBidi"/>
          <w:noProof/>
          <w:sz w:val="22"/>
          <w:szCs w:val="22"/>
        </w:rPr>
      </w:pPr>
      <w:hyperlink w:anchor="_Toc2804912" w:history="1">
        <w:r w:rsidRPr="008F4BBD">
          <w:rPr>
            <w:rStyle w:val="Hyperlink"/>
            <w:noProof/>
          </w:rPr>
          <w:t>1.6 Data Quality and Future Data Needs</w:t>
        </w:r>
        <w:r>
          <w:rPr>
            <w:noProof/>
            <w:webHidden/>
          </w:rPr>
          <w:tab/>
        </w:r>
        <w:r>
          <w:rPr>
            <w:noProof/>
            <w:webHidden/>
          </w:rPr>
          <w:fldChar w:fldCharType="begin"/>
        </w:r>
        <w:r>
          <w:rPr>
            <w:noProof/>
            <w:webHidden/>
          </w:rPr>
          <w:instrText xml:space="preserve"> PAGEREF _Toc2804912 \h </w:instrText>
        </w:r>
        <w:r>
          <w:rPr>
            <w:noProof/>
            <w:webHidden/>
          </w:rPr>
        </w:r>
        <w:r>
          <w:rPr>
            <w:noProof/>
            <w:webHidden/>
          </w:rPr>
          <w:fldChar w:fldCharType="separate"/>
        </w:r>
        <w:r>
          <w:rPr>
            <w:noProof/>
            <w:webHidden/>
          </w:rPr>
          <w:t>17</w:t>
        </w:r>
        <w:r>
          <w:rPr>
            <w:noProof/>
            <w:webHidden/>
          </w:rPr>
          <w:fldChar w:fldCharType="end"/>
        </w:r>
      </w:hyperlink>
    </w:p>
    <w:p w14:paraId="55F5A46A" w14:textId="77777777" w:rsidR="002803E7" w:rsidRDefault="002803E7">
      <w:pPr>
        <w:pStyle w:val="TOC2"/>
        <w:tabs>
          <w:tab w:val="right" w:leader="dot" w:pos="9350"/>
        </w:tabs>
        <w:rPr>
          <w:rFonts w:asciiTheme="minorHAnsi" w:eastAsiaTheme="minorEastAsia" w:hAnsiTheme="minorHAnsi" w:cstheme="minorBidi"/>
          <w:noProof/>
          <w:sz w:val="22"/>
          <w:szCs w:val="22"/>
        </w:rPr>
      </w:pPr>
      <w:hyperlink w:anchor="_Toc2804913" w:history="1">
        <w:r w:rsidRPr="008F4BBD">
          <w:rPr>
            <w:rStyle w:val="Hyperlink"/>
            <w:noProof/>
          </w:rPr>
          <w:t>1.6.1 Standard Practice Baseline Studies</w:t>
        </w:r>
        <w:r>
          <w:rPr>
            <w:noProof/>
            <w:webHidden/>
          </w:rPr>
          <w:tab/>
        </w:r>
        <w:r>
          <w:rPr>
            <w:noProof/>
            <w:webHidden/>
          </w:rPr>
          <w:fldChar w:fldCharType="begin"/>
        </w:r>
        <w:r>
          <w:rPr>
            <w:noProof/>
            <w:webHidden/>
          </w:rPr>
          <w:instrText xml:space="preserve"> PAGEREF _Toc2804913 \h </w:instrText>
        </w:r>
        <w:r>
          <w:rPr>
            <w:noProof/>
            <w:webHidden/>
          </w:rPr>
        </w:r>
        <w:r>
          <w:rPr>
            <w:noProof/>
            <w:webHidden/>
          </w:rPr>
          <w:fldChar w:fldCharType="separate"/>
        </w:r>
        <w:r>
          <w:rPr>
            <w:noProof/>
            <w:webHidden/>
          </w:rPr>
          <w:t>17</w:t>
        </w:r>
        <w:r>
          <w:rPr>
            <w:noProof/>
            <w:webHidden/>
          </w:rPr>
          <w:fldChar w:fldCharType="end"/>
        </w:r>
      </w:hyperlink>
    </w:p>
    <w:p w14:paraId="4BB1609B" w14:textId="77777777" w:rsidR="002803E7" w:rsidRDefault="002803E7">
      <w:pPr>
        <w:pStyle w:val="TOC3"/>
        <w:rPr>
          <w:rFonts w:asciiTheme="minorHAnsi" w:eastAsiaTheme="minorEastAsia" w:hAnsiTheme="minorHAnsi" w:cstheme="minorBidi"/>
          <w:noProof/>
          <w:sz w:val="22"/>
          <w:szCs w:val="22"/>
        </w:rPr>
      </w:pPr>
      <w:hyperlink w:anchor="_Toc2804914" w:history="1">
        <w:r w:rsidRPr="008F4BBD">
          <w:rPr>
            <w:rStyle w:val="Hyperlink"/>
            <w:noProof/>
          </w:rPr>
          <w:t>1.6.2 Inclusion of Early Retirement (ER)/Accelerated Replacement (AR) Measure Application Type</w:t>
        </w:r>
        <w:r>
          <w:rPr>
            <w:noProof/>
            <w:webHidden/>
          </w:rPr>
          <w:tab/>
        </w:r>
        <w:r>
          <w:rPr>
            <w:noProof/>
            <w:webHidden/>
          </w:rPr>
          <w:fldChar w:fldCharType="begin"/>
        </w:r>
        <w:r>
          <w:rPr>
            <w:noProof/>
            <w:webHidden/>
          </w:rPr>
          <w:instrText xml:space="preserve"> PAGEREF _Toc2804914 \h </w:instrText>
        </w:r>
        <w:r>
          <w:rPr>
            <w:noProof/>
            <w:webHidden/>
          </w:rPr>
        </w:r>
        <w:r>
          <w:rPr>
            <w:noProof/>
            <w:webHidden/>
          </w:rPr>
          <w:fldChar w:fldCharType="separate"/>
        </w:r>
        <w:r>
          <w:rPr>
            <w:noProof/>
            <w:webHidden/>
          </w:rPr>
          <w:t>19</w:t>
        </w:r>
        <w:r>
          <w:rPr>
            <w:noProof/>
            <w:webHidden/>
          </w:rPr>
          <w:fldChar w:fldCharType="end"/>
        </w:r>
      </w:hyperlink>
    </w:p>
    <w:p w14:paraId="6ED3FBF0" w14:textId="77777777" w:rsidR="002803E7" w:rsidRDefault="002803E7">
      <w:pPr>
        <w:pStyle w:val="TOC3"/>
        <w:rPr>
          <w:rFonts w:asciiTheme="minorHAnsi" w:eastAsiaTheme="minorEastAsia" w:hAnsiTheme="minorHAnsi" w:cstheme="minorBidi"/>
          <w:noProof/>
          <w:sz w:val="22"/>
          <w:szCs w:val="22"/>
        </w:rPr>
      </w:pPr>
      <w:hyperlink w:anchor="_Toc2804915" w:history="1">
        <w:r w:rsidRPr="008F4BBD">
          <w:rPr>
            <w:rStyle w:val="Hyperlink"/>
            <w:noProof/>
          </w:rPr>
          <w:t>1.6.3 Product ID Collection Process</w:t>
        </w:r>
        <w:r>
          <w:rPr>
            <w:noProof/>
            <w:webHidden/>
          </w:rPr>
          <w:tab/>
        </w:r>
        <w:r>
          <w:rPr>
            <w:noProof/>
            <w:webHidden/>
          </w:rPr>
          <w:fldChar w:fldCharType="begin"/>
        </w:r>
        <w:r>
          <w:rPr>
            <w:noProof/>
            <w:webHidden/>
          </w:rPr>
          <w:instrText xml:space="preserve"> PAGEREF _Toc2804915 \h </w:instrText>
        </w:r>
        <w:r>
          <w:rPr>
            <w:noProof/>
            <w:webHidden/>
          </w:rPr>
        </w:r>
        <w:r>
          <w:rPr>
            <w:noProof/>
            <w:webHidden/>
          </w:rPr>
          <w:fldChar w:fldCharType="separate"/>
        </w:r>
        <w:r>
          <w:rPr>
            <w:noProof/>
            <w:webHidden/>
          </w:rPr>
          <w:t>19</w:t>
        </w:r>
        <w:r>
          <w:rPr>
            <w:noProof/>
            <w:webHidden/>
          </w:rPr>
          <w:fldChar w:fldCharType="end"/>
        </w:r>
      </w:hyperlink>
    </w:p>
    <w:p w14:paraId="55751A07" w14:textId="77777777" w:rsidR="002803E7" w:rsidRDefault="002803E7">
      <w:pPr>
        <w:pStyle w:val="TOC3"/>
        <w:rPr>
          <w:rFonts w:asciiTheme="minorHAnsi" w:eastAsiaTheme="minorEastAsia" w:hAnsiTheme="minorHAnsi" w:cstheme="minorBidi"/>
          <w:noProof/>
          <w:sz w:val="22"/>
          <w:szCs w:val="22"/>
        </w:rPr>
      </w:pPr>
      <w:hyperlink w:anchor="_Toc2804916" w:history="1">
        <w:r w:rsidRPr="008F4BBD">
          <w:rPr>
            <w:rStyle w:val="Hyperlink"/>
            <w:noProof/>
          </w:rPr>
          <w:t>1.6.4 Lighting Facts LED Database</w:t>
        </w:r>
        <w:r>
          <w:rPr>
            <w:noProof/>
            <w:webHidden/>
          </w:rPr>
          <w:tab/>
        </w:r>
        <w:r>
          <w:rPr>
            <w:noProof/>
            <w:webHidden/>
          </w:rPr>
          <w:fldChar w:fldCharType="begin"/>
        </w:r>
        <w:r>
          <w:rPr>
            <w:noProof/>
            <w:webHidden/>
          </w:rPr>
          <w:instrText xml:space="preserve"> PAGEREF _Toc2804916 \h </w:instrText>
        </w:r>
        <w:r>
          <w:rPr>
            <w:noProof/>
            <w:webHidden/>
          </w:rPr>
        </w:r>
        <w:r>
          <w:rPr>
            <w:noProof/>
            <w:webHidden/>
          </w:rPr>
          <w:fldChar w:fldCharType="separate"/>
        </w:r>
        <w:r>
          <w:rPr>
            <w:noProof/>
            <w:webHidden/>
          </w:rPr>
          <w:t>19</w:t>
        </w:r>
        <w:r>
          <w:rPr>
            <w:noProof/>
            <w:webHidden/>
          </w:rPr>
          <w:fldChar w:fldCharType="end"/>
        </w:r>
      </w:hyperlink>
    </w:p>
    <w:p w14:paraId="08745158" w14:textId="77777777" w:rsidR="002803E7" w:rsidRDefault="002803E7">
      <w:pPr>
        <w:pStyle w:val="TOC1"/>
        <w:tabs>
          <w:tab w:val="right" w:leader="dot" w:pos="9350"/>
        </w:tabs>
        <w:rPr>
          <w:rFonts w:asciiTheme="minorHAnsi" w:eastAsiaTheme="minorEastAsia" w:hAnsiTheme="minorHAnsi" w:cstheme="minorBidi"/>
          <w:noProof/>
          <w:sz w:val="22"/>
          <w:szCs w:val="22"/>
        </w:rPr>
      </w:pPr>
      <w:hyperlink w:anchor="_Toc2804917" w:history="1">
        <w:r w:rsidRPr="008F4BBD">
          <w:rPr>
            <w:rStyle w:val="Hyperlink"/>
            <w:noProof/>
          </w:rPr>
          <w:t>Section 2 Calculation Methods</w:t>
        </w:r>
        <w:r>
          <w:rPr>
            <w:noProof/>
            <w:webHidden/>
          </w:rPr>
          <w:tab/>
        </w:r>
        <w:r>
          <w:rPr>
            <w:noProof/>
            <w:webHidden/>
          </w:rPr>
          <w:fldChar w:fldCharType="begin"/>
        </w:r>
        <w:r>
          <w:rPr>
            <w:noProof/>
            <w:webHidden/>
          </w:rPr>
          <w:instrText xml:space="preserve"> PAGEREF _Toc2804917 \h </w:instrText>
        </w:r>
        <w:r>
          <w:rPr>
            <w:noProof/>
            <w:webHidden/>
          </w:rPr>
        </w:r>
        <w:r>
          <w:rPr>
            <w:noProof/>
            <w:webHidden/>
          </w:rPr>
          <w:fldChar w:fldCharType="separate"/>
        </w:r>
        <w:r>
          <w:rPr>
            <w:noProof/>
            <w:webHidden/>
          </w:rPr>
          <w:t>20</w:t>
        </w:r>
        <w:r>
          <w:rPr>
            <w:noProof/>
            <w:webHidden/>
          </w:rPr>
          <w:fldChar w:fldCharType="end"/>
        </w:r>
      </w:hyperlink>
    </w:p>
    <w:p w14:paraId="7161456D" w14:textId="77777777" w:rsidR="002803E7" w:rsidRDefault="002803E7">
      <w:pPr>
        <w:pStyle w:val="TOC3"/>
        <w:rPr>
          <w:rFonts w:asciiTheme="minorHAnsi" w:eastAsiaTheme="minorEastAsia" w:hAnsiTheme="minorHAnsi" w:cstheme="minorBidi"/>
          <w:noProof/>
          <w:sz w:val="22"/>
          <w:szCs w:val="22"/>
        </w:rPr>
      </w:pPr>
      <w:hyperlink w:anchor="_Toc2804918" w:history="1">
        <w:r w:rsidRPr="008F4BBD">
          <w:rPr>
            <w:rStyle w:val="Hyperlink"/>
            <w:noProof/>
          </w:rPr>
          <w:t>2.0.1 Equivalent Levels of Service</w:t>
        </w:r>
        <w:r>
          <w:rPr>
            <w:noProof/>
            <w:webHidden/>
          </w:rPr>
          <w:tab/>
        </w:r>
        <w:r>
          <w:rPr>
            <w:noProof/>
            <w:webHidden/>
          </w:rPr>
          <w:fldChar w:fldCharType="begin"/>
        </w:r>
        <w:r>
          <w:rPr>
            <w:noProof/>
            <w:webHidden/>
          </w:rPr>
          <w:instrText xml:space="preserve"> PAGEREF _Toc2804918 \h </w:instrText>
        </w:r>
        <w:r>
          <w:rPr>
            <w:noProof/>
            <w:webHidden/>
          </w:rPr>
        </w:r>
        <w:r>
          <w:rPr>
            <w:noProof/>
            <w:webHidden/>
          </w:rPr>
          <w:fldChar w:fldCharType="separate"/>
        </w:r>
        <w:r>
          <w:rPr>
            <w:noProof/>
            <w:webHidden/>
          </w:rPr>
          <w:t>20</w:t>
        </w:r>
        <w:r>
          <w:rPr>
            <w:noProof/>
            <w:webHidden/>
          </w:rPr>
          <w:fldChar w:fldCharType="end"/>
        </w:r>
      </w:hyperlink>
    </w:p>
    <w:p w14:paraId="3BB16A19" w14:textId="77777777" w:rsidR="002803E7" w:rsidRDefault="002803E7">
      <w:pPr>
        <w:pStyle w:val="TOC3"/>
        <w:rPr>
          <w:rFonts w:asciiTheme="minorHAnsi" w:eastAsiaTheme="minorEastAsia" w:hAnsiTheme="minorHAnsi" w:cstheme="minorBidi"/>
          <w:noProof/>
          <w:sz w:val="22"/>
          <w:szCs w:val="22"/>
        </w:rPr>
      </w:pPr>
      <w:hyperlink w:anchor="_Toc2804919" w:history="1">
        <w:r w:rsidRPr="008F4BBD">
          <w:rPr>
            <w:rStyle w:val="Hyperlink"/>
            <w:noProof/>
          </w:rPr>
          <w:t>2.0.2 Assumptions Used in the Calculations</w:t>
        </w:r>
        <w:r>
          <w:rPr>
            <w:noProof/>
            <w:webHidden/>
          </w:rPr>
          <w:tab/>
        </w:r>
        <w:r>
          <w:rPr>
            <w:noProof/>
            <w:webHidden/>
          </w:rPr>
          <w:fldChar w:fldCharType="begin"/>
        </w:r>
        <w:r>
          <w:rPr>
            <w:noProof/>
            <w:webHidden/>
          </w:rPr>
          <w:instrText xml:space="preserve"> PAGEREF _Toc2804919 \h </w:instrText>
        </w:r>
        <w:r>
          <w:rPr>
            <w:noProof/>
            <w:webHidden/>
          </w:rPr>
        </w:r>
        <w:r>
          <w:rPr>
            <w:noProof/>
            <w:webHidden/>
          </w:rPr>
          <w:fldChar w:fldCharType="separate"/>
        </w:r>
        <w:r>
          <w:rPr>
            <w:noProof/>
            <w:webHidden/>
          </w:rPr>
          <w:t>21</w:t>
        </w:r>
        <w:r>
          <w:rPr>
            <w:noProof/>
            <w:webHidden/>
          </w:rPr>
          <w:fldChar w:fldCharType="end"/>
        </w:r>
      </w:hyperlink>
    </w:p>
    <w:p w14:paraId="20401288" w14:textId="77777777" w:rsidR="002803E7" w:rsidRDefault="002803E7">
      <w:pPr>
        <w:pStyle w:val="TOC3"/>
        <w:rPr>
          <w:rFonts w:asciiTheme="minorHAnsi" w:eastAsiaTheme="minorEastAsia" w:hAnsiTheme="minorHAnsi" w:cstheme="minorBidi"/>
          <w:noProof/>
          <w:sz w:val="22"/>
          <w:szCs w:val="22"/>
        </w:rPr>
      </w:pPr>
      <w:hyperlink w:anchor="_Toc2804920" w:history="1">
        <w:r w:rsidRPr="008F4BBD">
          <w:rPr>
            <w:rStyle w:val="Hyperlink"/>
            <w:noProof/>
          </w:rPr>
          <w:t>2.0.3 Measure Structure</w:t>
        </w:r>
        <w:r>
          <w:rPr>
            <w:noProof/>
            <w:webHidden/>
          </w:rPr>
          <w:tab/>
        </w:r>
        <w:r>
          <w:rPr>
            <w:noProof/>
            <w:webHidden/>
          </w:rPr>
          <w:fldChar w:fldCharType="begin"/>
        </w:r>
        <w:r>
          <w:rPr>
            <w:noProof/>
            <w:webHidden/>
          </w:rPr>
          <w:instrText xml:space="preserve"> PAGEREF _Toc2804920 \h </w:instrText>
        </w:r>
        <w:r>
          <w:rPr>
            <w:noProof/>
            <w:webHidden/>
          </w:rPr>
        </w:r>
        <w:r>
          <w:rPr>
            <w:noProof/>
            <w:webHidden/>
          </w:rPr>
          <w:fldChar w:fldCharType="separate"/>
        </w:r>
        <w:r>
          <w:rPr>
            <w:noProof/>
            <w:webHidden/>
          </w:rPr>
          <w:t>23</w:t>
        </w:r>
        <w:r>
          <w:rPr>
            <w:noProof/>
            <w:webHidden/>
          </w:rPr>
          <w:fldChar w:fldCharType="end"/>
        </w:r>
      </w:hyperlink>
    </w:p>
    <w:p w14:paraId="5513AFE4" w14:textId="77777777" w:rsidR="002803E7" w:rsidRDefault="002803E7">
      <w:pPr>
        <w:pStyle w:val="TOC2"/>
        <w:tabs>
          <w:tab w:val="right" w:leader="dot" w:pos="9350"/>
        </w:tabs>
        <w:rPr>
          <w:rFonts w:asciiTheme="minorHAnsi" w:eastAsiaTheme="minorEastAsia" w:hAnsiTheme="minorHAnsi" w:cstheme="minorBidi"/>
          <w:noProof/>
          <w:sz w:val="22"/>
          <w:szCs w:val="22"/>
        </w:rPr>
      </w:pPr>
      <w:hyperlink w:anchor="_Toc2804921" w:history="1">
        <w:r w:rsidRPr="008F4BBD">
          <w:rPr>
            <w:rStyle w:val="Hyperlink"/>
            <w:noProof/>
          </w:rPr>
          <w:t>2.1 Electric Energy Savings Estimation Methodologies</w:t>
        </w:r>
        <w:r>
          <w:rPr>
            <w:noProof/>
            <w:webHidden/>
          </w:rPr>
          <w:tab/>
        </w:r>
        <w:r>
          <w:rPr>
            <w:noProof/>
            <w:webHidden/>
          </w:rPr>
          <w:fldChar w:fldCharType="begin"/>
        </w:r>
        <w:r>
          <w:rPr>
            <w:noProof/>
            <w:webHidden/>
          </w:rPr>
          <w:instrText xml:space="preserve"> PAGEREF _Toc2804921 \h </w:instrText>
        </w:r>
        <w:r>
          <w:rPr>
            <w:noProof/>
            <w:webHidden/>
          </w:rPr>
        </w:r>
        <w:r>
          <w:rPr>
            <w:noProof/>
            <w:webHidden/>
          </w:rPr>
          <w:fldChar w:fldCharType="separate"/>
        </w:r>
        <w:r>
          <w:rPr>
            <w:noProof/>
            <w:webHidden/>
          </w:rPr>
          <w:t>26</w:t>
        </w:r>
        <w:r>
          <w:rPr>
            <w:noProof/>
            <w:webHidden/>
          </w:rPr>
          <w:fldChar w:fldCharType="end"/>
        </w:r>
      </w:hyperlink>
    </w:p>
    <w:p w14:paraId="6F4F986A" w14:textId="77777777" w:rsidR="002803E7" w:rsidRDefault="002803E7">
      <w:pPr>
        <w:pStyle w:val="TOC2"/>
        <w:tabs>
          <w:tab w:val="right" w:leader="dot" w:pos="9350"/>
        </w:tabs>
        <w:rPr>
          <w:rFonts w:asciiTheme="minorHAnsi" w:eastAsiaTheme="minorEastAsia" w:hAnsiTheme="minorHAnsi" w:cstheme="minorBidi"/>
          <w:noProof/>
          <w:sz w:val="22"/>
          <w:szCs w:val="22"/>
        </w:rPr>
      </w:pPr>
      <w:hyperlink w:anchor="_Toc2804922" w:history="1">
        <w:r w:rsidRPr="008F4BBD">
          <w:rPr>
            <w:rStyle w:val="Hyperlink"/>
            <w:noProof/>
          </w:rPr>
          <w:t>2.2 Demand Reduction Estimation Methodologies</w:t>
        </w:r>
        <w:r>
          <w:rPr>
            <w:noProof/>
            <w:webHidden/>
          </w:rPr>
          <w:tab/>
        </w:r>
        <w:r>
          <w:rPr>
            <w:noProof/>
            <w:webHidden/>
          </w:rPr>
          <w:fldChar w:fldCharType="begin"/>
        </w:r>
        <w:r>
          <w:rPr>
            <w:noProof/>
            <w:webHidden/>
          </w:rPr>
          <w:instrText xml:space="preserve"> PAGEREF _Toc2804922 \h </w:instrText>
        </w:r>
        <w:r>
          <w:rPr>
            <w:noProof/>
            <w:webHidden/>
          </w:rPr>
        </w:r>
        <w:r>
          <w:rPr>
            <w:noProof/>
            <w:webHidden/>
          </w:rPr>
          <w:fldChar w:fldCharType="separate"/>
        </w:r>
        <w:r>
          <w:rPr>
            <w:noProof/>
            <w:webHidden/>
          </w:rPr>
          <w:t>27</w:t>
        </w:r>
        <w:r>
          <w:rPr>
            <w:noProof/>
            <w:webHidden/>
          </w:rPr>
          <w:fldChar w:fldCharType="end"/>
        </w:r>
      </w:hyperlink>
    </w:p>
    <w:p w14:paraId="5B970B80" w14:textId="77777777" w:rsidR="002803E7" w:rsidRDefault="002803E7">
      <w:pPr>
        <w:pStyle w:val="TOC2"/>
        <w:tabs>
          <w:tab w:val="right" w:leader="dot" w:pos="9350"/>
        </w:tabs>
        <w:rPr>
          <w:rFonts w:asciiTheme="minorHAnsi" w:eastAsiaTheme="minorEastAsia" w:hAnsiTheme="minorHAnsi" w:cstheme="minorBidi"/>
          <w:noProof/>
          <w:sz w:val="22"/>
          <w:szCs w:val="22"/>
        </w:rPr>
      </w:pPr>
      <w:hyperlink w:anchor="_Toc2804923" w:history="1">
        <w:r w:rsidRPr="008F4BBD">
          <w:rPr>
            <w:rStyle w:val="Hyperlink"/>
            <w:noProof/>
          </w:rPr>
          <w:t>2.3 Gas Energy Savings Estimation Methodologies</w:t>
        </w:r>
        <w:r>
          <w:rPr>
            <w:noProof/>
            <w:webHidden/>
          </w:rPr>
          <w:tab/>
        </w:r>
        <w:r>
          <w:rPr>
            <w:noProof/>
            <w:webHidden/>
          </w:rPr>
          <w:fldChar w:fldCharType="begin"/>
        </w:r>
        <w:r>
          <w:rPr>
            <w:noProof/>
            <w:webHidden/>
          </w:rPr>
          <w:instrText xml:space="preserve"> PAGEREF _Toc2804923 \h </w:instrText>
        </w:r>
        <w:r>
          <w:rPr>
            <w:noProof/>
            <w:webHidden/>
          </w:rPr>
        </w:r>
        <w:r>
          <w:rPr>
            <w:noProof/>
            <w:webHidden/>
          </w:rPr>
          <w:fldChar w:fldCharType="separate"/>
        </w:r>
        <w:r>
          <w:rPr>
            <w:noProof/>
            <w:webHidden/>
          </w:rPr>
          <w:t>27</w:t>
        </w:r>
        <w:r>
          <w:rPr>
            <w:noProof/>
            <w:webHidden/>
          </w:rPr>
          <w:fldChar w:fldCharType="end"/>
        </w:r>
      </w:hyperlink>
    </w:p>
    <w:p w14:paraId="4CA1040B" w14:textId="77777777" w:rsidR="002803E7" w:rsidRDefault="002803E7">
      <w:pPr>
        <w:pStyle w:val="TOC1"/>
        <w:tabs>
          <w:tab w:val="right" w:leader="dot" w:pos="9350"/>
        </w:tabs>
        <w:rPr>
          <w:rFonts w:asciiTheme="minorHAnsi" w:eastAsiaTheme="minorEastAsia" w:hAnsiTheme="minorHAnsi" w:cstheme="minorBidi"/>
          <w:noProof/>
          <w:sz w:val="22"/>
          <w:szCs w:val="22"/>
        </w:rPr>
      </w:pPr>
      <w:hyperlink w:anchor="_Toc2804924" w:history="1">
        <w:r w:rsidRPr="008F4BBD">
          <w:rPr>
            <w:rStyle w:val="Hyperlink"/>
            <w:noProof/>
          </w:rPr>
          <w:t>Section 3 Load Shapes</w:t>
        </w:r>
        <w:r>
          <w:rPr>
            <w:noProof/>
            <w:webHidden/>
          </w:rPr>
          <w:tab/>
        </w:r>
        <w:r>
          <w:rPr>
            <w:noProof/>
            <w:webHidden/>
          </w:rPr>
          <w:fldChar w:fldCharType="begin"/>
        </w:r>
        <w:r>
          <w:rPr>
            <w:noProof/>
            <w:webHidden/>
          </w:rPr>
          <w:instrText xml:space="preserve"> PAGEREF _Toc2804924 \h </w:instrText>
        </w:r>
        <w:r>
          <w:rPr>
            <w:noProof/>
            <w:webHidden/>
          </w:rPr>
        </w:r>
        <w:r>
          <w:rPr>
            <w:noProof/>
            <w:webHidden/>
          </w:rPr>
          <w:fldChar w:fldCharType="separate"/>
        </w:r>
        <w:r>
          <w:rPr>
            <w:noProof/>
            <w:webHidden/>
          </w:rPr>
          <w:t>28</w:t>
        </w:r>
        <w:r>
          <w:rPr>
            <w:noProof/>
            <w:webHidden/>
          </w:rPr>
          <w:fldChar w:fldCharType="end"/>
        </w:r>
      </w:hyperlink>
    </w:p>
    <w:p w14:paraId="5824EBF7" w14:textId="77777777" w:rsidR="002803E7" w:rsidRDefault="002803E7">
      <w:pPr>
        <w:pStyle w:val="TOC2"/>
        <w:tabs>
          <w:tab w:val="right" w:leader="dot" w:pos="9350"/>
        </w:tabs>
        <w:rPr>
          <w:rFonts w:asciiTheme="minorHAnsi" w:eastAsiaTheme="minorEastAsia" w:hAnsiTheme="minorHAnsi" w:cstheme="minorBidi"/>
          <w:noProof/>
          <w:sz w:val="22"/>
          <w:szCs w:val="22"/>
        </w:rPr>
      </w:pPr>
      <w:hyperlink w:anchor="_Toc2804925" w:history="1">
        <w:r w:rsidRPr="008F4BBD">
          <w:rPr>
            <w:rStyle w:val="Hyperlink"/>
            <w:noProof/>
          </w:rPr>
          <w:t>3.1 Base Case Load Shapes</w:t>
        </w:r>
        <w:r>
          <w:rPr>
            <w:noProof/>
            <w:webHidden/>
          </w:rPr>
          <w:tab/>
        </w:r>
        <w:r>
          <w:rPr>
            <w:noProof/>
            <w:webHidden/>
          </w:rPr>
          <w:fldChar w:fldCharType="begin"/>
        </w:r>
        <w:r>
          <w:rPr>
            <w:noProof/>
            <w:webHidden/>
          </w:rPr>
          <w:instrText xml:space="preserve"> PAGEREF _Toc2804925 \h </w:instrText>
        </w:r>
        <w:r>
          <w:rPr>
            <w:noProof/>
            <w:webHidden/>
          </w:rPr>
        </w:r>
        <w:r>
          <w:rPr>
            <w:noProof/>
            <w:webHidden/>
          </w:rPr>
          <w:fldChar w:fldCharType="separate"/>
        </w:r>
        <w:r>
          <w:rPr>
            <w:noProof/>
            <w:webHidden/>
          </w:rPr>
          <w:t>28</w:t>
        </w:r>
        <w:r>
          <w:rPr>
            <w:noProof/>
            <w:webHidden/>
          </w:rPr>
          <w:fldChar w:fldCharType="end"/>
        </w:r>
      </w:hyperlink>
    </w:p>
    <w:p w14:paraId="1B7D57FF" w14:textId="77777777" w:rsidR="002803E7" w:rsidRDefault="002803E7">
      <w:pPr>
        <w:pStyle w:val="TOC2"/>
        <w:tabs>
          <w:tab w:val="right" w:leader="dot" w:pos="9350"/>
        </w:tabs>
        <w:rPr>
          <w:rFonts w:asciiTheme="minorHAnsi" w:eastAsiaTheme="minorEastAsia" w:hAnsiTheme="minorHAnsi" w:cstheme="minorBidi"/>
          <w:noProof/>
          <w:sz w:val="22"/>
          <w:szCs w:val="22"/>
        </w:rPr>
      </w:pPr>
      <w:hyperlink w:anchor="_Toc2804926" w:history="1">
        <w:r w:rsidRPr="008F4BBD">
          <w:rPr>
            <w:rStyle w:val="Hyperlink"/>
            <w:noProof/>
          </w:rPr>
          <w:t>3.2 Measure Load Shapes</w:t>
        </w:r>
        <w:r>
          <w:rPr>
            <w:noProof/>
            <w:webHidden/>
          </w:rPr>
          <w:tab/>
        </w:r>
        <w:r>
          <w:rPr>
            <w:noProof/>
            <w:webHidden/>
          </w:rPr>
          <w:fldChar w:fldCharType="begin"/>
        </w:r>
        <w:r>
          <w:rPr>
            <w:noProof/>
            <w:webHidden/>
          </w:rPr>
          <w:instrText xml:space="preserve"> PAGEREF _Toc2804926 \h </w:instrText>
        </w:r>
        <w:r>
          <w:rPr>
            <w:noProof/>
            <w:webHidden/>
          </w:rPr>
        </w:r>
        <w:r>
          <w:rPr>
            <w:noProof/>
            <w:webHidden/>
          </w:rPr>
          <w:fldChar w:fldCharType="separate"/>
        </w:r>
        <w:r>
          <w:rPr>
            <w:noProof/>
            <w:webHidden/>
          </w:rPr>
          <w:t>28</w:t>
        </w:r>
        <w:r>
          <w:rPr>
            <w:noProof/>
            <w:webHidden/>
          </w:rPr>
          <w:fldChar w:fldCharType="end"/>
        </w:r>
      </w:hyperlink>
    </w:p>
    <w:p w14:paraId="32A58F61" w14:textId="77777777" w:rsidR="002803E7" w:rsidRDefault="002803E7">
      <w:pPr>
        <w:pStyle w:val="TOC1"/>
        <w:tabs>
          <w:tab w:val="right" w:leader="dot" w:pos="9350"/>
        </w:tabs>
        <w:rPr>
          <w:rFonts w:asciiTheme="minorHAnsi" w:eastAsiaTheme="minorEastAsia" w:hAnsiTheme="minorHAnsi" w:cstheme="minorBidi"/>
          <w:noProof/>
          <w:sz w:val="22"/>
          <w:szCs w:val="22"/>
        </w:rPr>
      </w:pPr>
      <w:hyperlink w:anchor="_Toc2804927" w:history="1">
        <w:r w:rsidRPr="008F4BBD">
          <w:rPr>
            <w:rStyle w:val="Hyperlink"/>
            <w:noProof/>
          </w:rPr>
          <w:t>Section 4 Base Case &amp; Measure Costs</w:t>
        </w:r>
        <w:r>
          <w:rPr>
            <w:noProof/>
            <w:webHidden/>
          </w:rPr>
          <w:tab/>
        </w:r>
        <w:r>
          <w:rPr>
            <w:noProof/>
            <w:webHidden/>
          </w:rPr>
          <w:fldChar w:fldCharType="begin"/>
        </w:r>
        <w:r>
          <w:rPr>
            <w:noProof/>
            <w:webHidden/>
          </w:rPr>
          <w:instrText xml:space="preserve"> PAGEREF _Toc2804927 \h </w:instrText>
        </w:r>
        <w:r>
          <w:rPr>
            <w:noProof/>
            <w:webHidden/>
          </w:rPr>
        </w:r>
        <w:r>
          <w:rPr>
            <w:noProof/>
            <w:webHidden/>
          </w:rPr>
          <w:fldChar w:fldCharType="separate"/>
        </w:r>
        <w:r>
          <w:rPr>
            <w:noProof/>
            <w:webHidden/>
          </w:rPr>
          <w:t>28</w:t>
        </w:r>
        <w:r>
          <w:rPr>
            <w:noProof/>
            <w:webHidden/>
          </w:rPr>
          <w:fldChar w:fldCharType="end"/>
        </w:r>
      </w:hyperlink>
    </w:p>
    <w:p w14:paraId="147A497E" w14:textId="77777777" w:rsidR="002803E7" w:rsidRDefault="002803E7">
      <w:pPr>
        <w:pStyle w:val="TOC2"/>
        <w:tabs>
          <w:tab w:val="right" w:leader="dot" w:pos="9350"/>
        </w:tabs>
        <w:rPr>
          <w:rFonts w:asciiTheme="minorHAnsi" w:eastAsiaTheme="minorEastAsia" w:hAnsiTheme="minorHAnsi" w:cstheme="minorBidi"/>
          <w:noProof/>
          <w:sz w:val="22"/>
          <w:szCs w:val="22"/>
        </w:rPr>
      </w:pPr>
      <w:hyperlink w:anchor="_Toc2804928" w:history="1">
        <w:r w:rsidRPr="008F4BBD">
          <w:rPr>
            <w:rStyle w:val="Hyperlink"/>
            <w:noProof/>
          </w:rPr>
          <w:t>4.1 Base Case Costs</w:t>
        </w:r>
        <w:r>
          <w:rPr>
            <w:noProof/>
            <w:webHidden/>
          </w:rPr>
          <w:tab/>
        </w:r>
        <w:r>
          <w:rPr>
            <w:noProof/>
            <w:webHidden/>
          </w:rPr>
          <w:fldChar w:fldCharType="begin"/>
        </w:r>
        <w:r>
          <w:rPr>
            <w:noProof/>
            <w:webHidden/>
          </w:rPr>
          <w:instrText xml:space="preserve"> PAGEREF _Toc2804928 \h </w:instrText>
        </w:r>
        <w:r>
          <w:rPr>
            <w:noProof/>
            <w:webHidden/>
          </w:rPr>
        </w:r>
        <w:r>
          <w:rPr>
            <w:noProof/>
            <w:webHidden/>
          </w:rPr>
          <w:fldChar w:fldCharType="separate"/>
        </w:r>
        <w:r>
          <w:rPr>
            <w:noProof/>
            <w:webHidden/>
          </w:rPr>
          <w:t>28</w:t>
        </w:r>
        <w:r>
          <w:rPr>
            <w:noProof/>
            <w:webHidden/>
          </w:rPr>
          <w:fldChar w:fldCharType="end"/>
        </w:r>
      </w:hyperlink>
    </w:p>
    <w:p w14:paraId="326224AA" w14:textId="77777777" w:rsidR="002803E7" w:rsidRDefault="002803E7">
      <w:pPr>
        <w:pStyle w:val="TOC2"/>
        <w:tabs>
          <w:tab w:val="right" w:leader="dot" w:pos="9350"/>
        </w:tabs>
        <w:rPr>
          <w:rFonts w:asciiTheme="minorHAnsi" w:eastAsiaTheme="minorEastAsia" w:hAnsiTheme="minorHAnsi" w:cstheme="minorBidi"/>
          <w:noProof/>
          <w:sz w:val="22"/>
          <w:szCs w:val="22"/>
        </w:rPr>
      </w:pPr>
      <w:hyperlink w:anchor="_Toc2804929" w:history="1">
        <w:r w:rsidRPr="008F4BBD">
          <w:rPr>
            <w:rStyle w:val="Hyperlink"/>
            <w:noProof/>
          </w:rPr>
          <w:t>4.2 Measure Case Costs</w:t>
        </w:r>
        <w:r>
          <w:rPr>
            <w:noProof/>
            <w:webHidden/>
          </w:rPr>
          <w:tab/>
        </w:r>
        <w:r>
          <w:rPr>
            <w:noProof/>
            <w:webHidden/>
          </w:rPr>
          <w:fldChar w:fldCharType="begin"/>
        </w:r>
        <w:r>
          <w:rPr>
            <w:noProof/>
            <w:webHidden/>
          </w:rPr>
          <w:instrText xml:space="preserve"> PAGEREF _Toc2804929 \h </w:instrText>
        </w:r>
        <w:r>
          <w:rPr>
            <w:noProof/>
            <w:webHidden/>
          </w:rPr>
        </w:r>
        <w:r>
          <w:rPr>
            <w:noProof/>
            <w:webHidden/>
          </w:rPr>
          <w:fldChar w:fldCharType="separate"/>
        </w:r>
        <w:r>
          <w:rPr>
            <w:noProof/>
            <w:webHidden/>
          </w:rPr>
          <w:t>29</w:t>
        </w:r>
        <w:r>
          <w:rPr>
            <w:noProof/>
            <w:webHidden/>
          </w:rPr>
          <w:fldChar w:fldCharType="end"/>
        </w:r>
      </w:hyperlink>
    </w:p>
    <w:p w14:paraId="7A2568F1" w14:textId="77777777" w:rsidR="002803E7" w:rsidRDefault="002803E7">
      <w:pPr>
        <w:pStyle w:val="TOC2"/>
        <w:tabs>
          <w:tab w:val="right" w:leader="dot" w:pos="9350"/>
        </w:tabs>
        <w:rPr>
          <w:rFonts w:asciiTheme="minorHAnsi" w:eastAsiaTheme="minorEastAsia" w:hAnsiTheme="minorHAnsi" w:cstheme="minorBidi"/>
          <w:noProof/>
          <w:sz w:val="22"/>
          <w:szCs w:val="22"/>
        </w:rPr>
      </w:pPr>
      <w:hyperlink w:anchor="_Toc2804930" w:history="1">
        <w:r w:rsidRPr="008F4BBD">
          <w:rPr>
            <w:rStyle w:val="Hyperlink"/>
            <w:noProof/>
          </w:rPr>
          <w:t>4.3 Incremental &amp; Full Measure Costs</w:t>
        </w:r>
        <w:r>
          <w:rPr>
            <w:noProof/>
            <w:webHidden/>
          </w:rPr>
          <w:tab/>
        </w:r>
        <w:r>
          <w:rPr>
            <w:noProof/>
            <w:webHidden/>
          </w:rPr>
          <w:fldChar w:fldCharType="begin"/>
        </w:r>
        <w:r>
          <w:rPr>
            <w:noProof/>
            <w:webHidden/>
          </w:rPr>
          <w:instrText xml:space="preserve"> PAGEREF _Toc2804930 \h </w:instrText>
        </w:r>
        <w:r>
          <w:rPr>
            <w:noProof/>
            <w:webHidden/>
          </w:rPr>
        </w:r>
        <w:r>
          <w:rPr>
            <w:noProof/>
            <w:webHidden/>
          </w:rPr>
          <w:fldChar w:fldCharType="separate"/>
        </w:r>
        <w:r>
          <w:rPr>
            <w:noProof/>
            <w:webHidden/>
          </w:rPr>
          <w:t>29</w:t>
        </w:r>
        <w:r>
          <w:rPr>
            <w:noProof/>
            <w:webHidden/>
          </w:rPr>
          <w:fldChar w:fldCharType="end"/>
        </w:r>
      </w:hyperlink>
    </w:p>
    <w:p w14:paraId="0837E7EE" w14:textId="77777777" w:rsidR="002803E7" w:rsidRDefault="002803E7">
      <w:pPr>
        <w:pStyle w:val="TOC3"/>
        <w:rPr>
          <w:rFonts w:asciiTheme="minorHAnsi" w:eastAsiaTheme="minorEastAsia" w:hAnsiTheme="minorHAnsi" w:cstheme="minorBidi"/>
          <w:noProof/>
          <w:sz w:val="22"/>
          <w:szCs w:val="22"/>
        </w:rPr>
      </w:pPr>
      <w:hyperlink w:anchor="_Toc2804931" w:history="1">
        <w:r w:rsidRPr="008F4BBD">
          <w:rPr>
            <w:rStyle w:val="Hyperlink"/>
            <w:noProof/>
          </w:rPr>
          <w:t>4.3.1 Full Measure Cost</w:t>
        </w:r>
        <w:r>
          <w:rPr>
            <w:noProof/>
            <w:webHidden/>
          </w:rPr>
          <w:tab/>
        </w:r>
        <w:r>
          <w:rPr>
            <w:noProof/>
            <w:webHidden/>
          </w:rPr>
          <w:fldChar w:fldCharType="begin"/>
        </w:r>
        <w:r>
          <w:rPr>
            <w:noProof/>
            <w:webHidden/>
          </w:rPr>
          <w:instrText xml:space="preserve"> PAGEREF _Toc2804931 \h </w:instrText>
        </w:r>
        <w:r>
          <w:rPr>
            <w:noProof/>
            <w:webHidden/>
          </w:rPr>
        </w:r>
        <w:r>
          <w:rPr>
            <w:noProof/>
            <w:webHidden/>
          </w:rPr>
          <w:fldChar w:fldCharType="separate"/>
        </w:r>
        <w:r>
          <w:rPr>
            <w:noProof/>
            <w:webHidden/>
          </w:rPr>
          <w:t>29</w:t>
        </w:r>
        <w:r>
          <w:rPr>
            <w:noProof/>
            <w:webHidden/>
          </w:rPr>
          <w:fldChar w:fldCharType="end"/>
        </w:r>
      </w:hyperlink>
    </w:p>
    <w:p w14:paraId="63C94B08" w14:textId="77777777" w:rsidR="002803E7" w:rsidRDefault="002803E7">
      <w:pPr>
        <w:pStyle w:val="TOC1"/>
        <w:tabs>
          <w:tab w:val="right" w:leader="dot" w:pos="9350"/>
        </w:tabs>
        <w:rPr>
          <w:rFonts w:asciiTheme="minorHAnsi" w:eastAsiaTheme="minorEastAsia" w:hAnsiTheme="minorHAnsi" w:cstheme="minorBidi"/>
          <w:noProof/>
          <w:sz w:val="22"/>
          <w:szCs w:val="22"/>
        </w:rPr>
      </w:pPr>
      <w:hyperlink w:anchor="_Toc2804932" w:history="1">
        <w:r w:rsidRPr="008F4BBD">
          <w:rPr>
            <w:rStyle w:val="Hyperlink"/>
            <w:noProof/>
          </w:rPr>
          <w:t>Attachments</w:t>
        </w:r>
        <w:r>
          <w:rPr>
            <w:noProof/>
            <w:webHidden/>
          </w:rPr>
          <w:tab/>
        </w:r>
        <w:r>
          <w:rPr>
            <w:noProof/>
            <w:webHidden/>
          </w:rPr>
          <w:fldChar w:fldCharType="begin"/>
        </w:r>
        <w:r>
          <w:rPr>
            <w:noProof/>
            <w:webHidden/>
          </w:rPr>
          <w:instrText xml:space="preserve"> PAGEREF _Toc2804932 \h </w:instrText>
        </w:r>
        <w:r>
          <w:rPr>
            <w:noProof/>
            <w:webHidden/>
          </w:rPr>
        </w:r>
        <w:r>
          <w:rPr>
            <w:noProof/>
            <w:webHidden/>
          </w:rPr>
          <w:fldChar w:fldCharType="separate"/>
        </w:r>
        <w:r>
          <w:rPr>
            <w:noProof/>
            <w:webHidden/>
          </w:rPr>
          <w:t>30</w:t>
        </w:r>
        <w:r>
          <w:rPr>
            <w:noProof/>
            <w:webHidden/>
          </w:rPr>
          <w:fldChar w:fldCharType="end"/>
        </w:r>
      </w:hyperlink>
    </w:p>
    <w:p w14:paraId="0BA631C8" w14:textId="2DEA8DCD" w:rsidR="00ED21EE" w:rsidRPr="00127B4E" w:rsidRDefault="009F6F8B" w:rsidP="00127B4E">
      <w:pPr>
        <w:pStyle w:val="Heading1"/>
        <w:spacing w:before="120"/>
        <w:rPr>
          <w:sz w:val="28"/>
          <w:szCs w:val="28"/>
        </w:rPr>
      </w:pPr>
      <w:r w:rsidRPr="1AA8F051">
        <w:fldChar w:fldCharType="end"/>
      </w:r>
      <w:bookmarkStart w:id="11" w:name="_Toc172205729"/>
      <w:bookmarkStart w:id="12" w:name="_Toc511038024"/>
      <w:r w:rsidR="00F477C9">
        <w:br w:type="page"/>
      </w:r>
      <w:bookmarkStart w:id="13" w:name="_Toc2804897"/>
      <w:r w:rsidR="00ED21EE" w:rsidRPr="00127B4E">
        <w:rPr>
          <w:sz w:val="28"/>
          <w:szCs w:val="28"/>
        </w:rPr>
        <w:lastRenderedPageBreak/>
        <w:t>List of Tables</w:t>
      </w:r>
      <w:bookmarkEnd w:id="11"/>
      <w:bookmarkEnd w:id="12"/>
      <w:bookmarkEnd w:id="13"/>
    </w:p>
    <w:p w14:paraId="613BC14B" w14:textId="77777777" w:rsidR="002803E7" w:rsidRDefault="00A57045">
      <w:pPr>
        <w:pStyle w:val="TableofFigures"/>
        <w:tabs>
          <w:tab w:val="right" w:leader="dot" w:pos="9350"/>
        </w:tabs>
        <w:rPr>
          <w:rFonts w:asciiTheme="minorHAnsi" w:eastAsiaTheme="minorEastAsia" w:hAnsiTheme="minorHAnsi" w:cstheme="minorBidi"/>
          <w:noProof/>
          <w:sz w:val="22"/>
          <w:szCs w:val="22"/>
        </w:rPr>
      </w:pPr>
      <w:r w:rsidRPr="002C3514">
        <w:fldChar w:fldCharType="begin"/>
      </w:r>
      <w:r w:rsidRPr="002C3514">
        <w:instrText xml:space="preserve"> TOC \h \z \c "Table" </w:instrText>
      </w:r>
      <w:r w:rsidRPr="002C3514">
        <w:fldChar w:fldCharType="separate"/>
      </w:r>
      <w:hyperlink w:anchor="_Toc2804933" w:history="1">
        <w:r w:rsidR="002803E7" w:rsidRPr="003F6398">
          <w:rPr>
            <w:rStyle w:val="Hyperlink"/>
            <w:b/>
            <w:noProof/>
          </w:rPr>
          <w:t>Table 1 LED High-Bay and Low-Bay Measure Codes</w:t>
        </w:r>
        <w:r w:rsidR="002803E7">
          <w:rPr>
            <w:noProof/>
            <w:webHidden/>
          </w:rPr>
          <w:tab/>
        </w:r>
        <w:r w:rsidR="002803E7">
          <w:rPr>
            <w:noProof/>
            <w:webHidden/>
          </w:rPr>
          <w:fldChar w:fldCharType="begin"/>
        </w:r>
        <w:r w:rsidR="002803E7">
          <w:rPr>
            <w:noProof/>
            <w:webHidden/>
          </w:rPr>
          <w:instrText xml:space="preserve"> PAGEREF _Toc2804933 \h </w:instrText>
        </w:r>
        <w:r w:rsidR="002803E7">
          <w:rPr>
            <w:noProof/>
            <w:webHidden/>
          </w:rPr>
        </w:r>
        <w:r w:rsidR="002803E7">
          <w:rPr>
            <w:noProof/>
            <w:webHidden/>
          </w:rPr>
          <w:fldChar w:fldCharType="separate"/>
        </w:r>
        <w:r w:rsidR="002803E7">
          <w:rPr>
            <w:noProof/>
            <w:webHidden/>
          </w:rPr>
          <w:t>4</w:t>
        </w:r>
        <w:r w:rsidR="002803E7">
          <w:rPr>
            <w:noProof/>
            <w:webHidden/>
          </w:rPr>
          <w:fldChar w:fldCharType="end"/>
        </w:r>
      </w:hyperlink>
    </w:p>
    <w:p w14:paraId="4C73397B" w14:textId="77777777" w:rsidR="002803E7" w:rsidRDefault="002803E7">
      <w:pPr>
        <w:pStyle w:val="TableofFigures"/>
        <w:tabs>
          <w:tab w:val="right" w:leader="dot" w:pos="9350"/>
        </w:tabs>
        <w:rPr>
          <w:rFonts w:asciiTheme="minorHAnsi" w:eastAsiaTheme="minorEastAsia" w:hAnsiTheme="minorHAnsi" w:cstheme="minorBidi"/>
          <w:noProof/>
          <w:sz w:val="22"/>
          <w:szCs w:val="22"/>
        </w:rPr>
      </w:pPr>
      <w:hyperlink w:anchor="_Toc2804934" w:history="1">
        <w:r w:rsidRPr="003F6398">
          <w:rPr>
            <w:rStyle w:val="Hyperlink"/>
            <w:noProof/>
          </w:rPr>
          <w:t>Table 2 Measure Application Type</w:t>
        </w:r>
        <w:r>
          <w:rPr>
            <w:noProof/>
            <w:webHidden/>
          </w:rPr>
          <w:tab/>
        </w:r>
        <w:r>
          <w:rPr>
            <w:noProof/>
            <w:webHidden/>
          </w:rPr>
          <w:fldChar w:fldCharType="begin"/>
        </w:r>
        <w:r>
          <w:rPr>
            <w:noProof/>
            <w:webHidden/>
          </w:rPr>
          <w:instrText xml:space="preserve"> PAGEREF _Toc2804934 \h </w:instrText>
        </w:r>
        <w:r>
          <w:rPr>
            <w:noProof/>
            <w:webHidden/>
          </w:rPr>
        </w:r>
        <w:r>
          <w:rPr>
            <w:noProof/>
            <w:webHidden/>
          </w:rPr>
          <w:fldChar w:fldCharType="separate"/>
        </w:r>
        <w:r>
          <w:rPr>
            <w:noProof/>
            <w:webHidden/>
          </w:rPr>
          <w:t>6</w:t>
        </w:r>
        <w:r>
          <w:rPr>
            <w:noProof/>
            <w:webHidden/>
          </w:rPr>
          <w:fldChar w:fldCharType="end"/>
        </w:r>
      </w:hyperlink>
    </w:p>
    <w:p w14:paraId="7B70F859" w14:textId="77777777" w:rsidR="002803E7" w:rsidRDefault="002803E7">
      <w:pPr>
        <w:pStyle w:val="TableofFigures"/>
        <w:tabs>
          <w:tab w:val="right" w:leader="dot" w:pos="9350"/>
        </w:tabs>
        <w:rPr>
          <w:rFonts w:asciiTheme="minorHAnsi" w:eastAsiaTheme="minorEastAsia" w:hAnsiTheme="minorHAnsi" w:cstheme="minorBidi"/>
          <w:noProof/>
          <w:sz w:val="22"/>
          <w:szCs w:val="22"/>
        </w:rPr>
      </w:pPr>
      <w:hyperlink w:anchor="_Toc2804935" w:history="1">
        <w:r w:rsidRPr="003F6398">
          <w:rPr>
            <w:rStyle w:val="Hyperlink"/>
            <w:noProof/>
          </w:rPr>
          <w:t>Table 3 Delivery Method and Applicable Building Types</w:t>
        </w:r>
        <w:r>
          <w:rPr>
            <w:noProof/>
            <w:webHidden/>
          </w:rPr>
          <w:tab/>
        </w:r>
        <w:r>
          <w:rPr>
            <w:noProof/>
            <w:webHidden/>
          </w:rPr>
          <w:fldChar w:fldCharType="begin"/>
        </w:r>
        <w:r>
          <w:rPr>
            <w:noProof/>
            <w:webHidden/>
          </w:rPr>
          <w:instrText xml:space="preserve"> PAGEREF _Toc2804935 \h </w:instrText>
        </w:r>
        <w:r>
          <w:rPr>
            <w:noProof/>
            <w:webHidden/>
          </w:rPr>
        </w:r>
        <w:r>
          <w:rPr>
            <w:noProof/>
            <w:webHidden/>
          </w:rPr>
          <w:fldChar w:fldCharType="separate"/>
        </w:r>
        <w:r>
          <w:rPr>
            <w:noProof/>
            <w:webHidden/>
          </w:rPr>
          <w:t>6</w:t>
        </w:r>
        <w:r>
          <w:rPr>
            <w:noProof/>
            <w:webHidden/>
          </w:rPr>
          <w:fldChar w:fldCharType="end"/>
        </w:r>
      </w:hyperlink>
    </w:p>
    <w:p w14:paraId="37F47847" w14:textId="77777777" w:rsidR="002803E7" w:rsidRDefault="002803E7">
      <w:pPr>
        <w:pStyle w:val="TableofFigures"/>
        <w:tabs>
          <w:tab w:val="right" w:leader="dot" w:pos="9350"/>
        </w:tabs>
        <w:rPr>
          <w:rFonts w:asciiTheme="minorHAnsi" w:eastAsiaTheme="minorEastAsia" w:hAnsiTheme="minorHAnsi" w:cstheme="minorBidi"/>
          <w:noProof/>
          <w:sz w:val="22"/>
          <w:szCs w:val="22"/>
        </w:rPr>
      </w:pPr>
      <w:hyperlink w:anchor="_Toc2804936" w:history="1">
        <w:r w:rsidRPr="003F6398">
          <w:rPr>
            <w:rStyle w:val="Hyperlink"/>
            <w:noProof/>
          </w:rPr>
          <w:t>Table 4 DEER Difference Summary</w:t>
        </w:r>
        <w:r>
          <w:rPr>
            <w:noProof/>
            <w:webHidden/>
          </w:rPr>
          <w:tab/>
        </w:r>
        <w:r>
          <w:rPr>
            <w:noProof/>
            <w:webHidden/>
          </w:rPr>
          <w:fldChar w:fldCharType="begin"/>
        </w:r>
        <w:r>
          <w:rPr>
            <w:noProof/>
            <w:webHidden/>
          </w:rPr>
          <w:instrText xml:space="preserve"> PAGEREF _Toc2804936 \h </w:instrText>
        </w:r>
        <w:r>
          <w:rPr>
            <w:noProof/>
            <w:webHidden/>
          </w:rPr>
        </w:r>
        <w:r>
          <w:rPr>
            <w:noProof/>
            <w:webHidden/>
          </w:rPr>
          <w:fldChar w:fldCharType="separate"/>
        </w:r>
        <w:r>
          <w:rPr>
            <w:noProof/>
            <w:webHidden/>
          </w:rPr>
          <w:t>6</w:t>
        </w:r>
        <w:r>
          <w:rPr>
            <w:noProof/>
            <w:webHidden/>
          </w:rPr>
          <w:fldChar w:fldCharType="end"/>
        </w:r>
      </w:hyperlink>
    </w:p>
    <w:p w14:paraId="38B6FEB4" w14:textId="77777777" w:rsidR="002803E7" w:rsidRDefault="002803E7">
      <w:pPr>
        <w:pStyle w:val="TableofFigures"/>
        <w:tabs>
          <w:tab w:val="right" w:leader="dot" w:pos="9350"/>
        </w:tabs>
        <w:rPr>
          <w:rFonts w:asciiTheme="minorHAnsi" w:eastAsiaTheme="minorEastAsia" w:hAnsiTheme="minorHAnsi" w:cstheme="minorBidi"/>
          <w:noProof/>
          <w:sz w:val="22"/>
          <w:szCs w:val="22"/>
        </w:rPr>
      </w:pPr>
      <w:hyperlink w:anchor="_Toc2804937" w:history="1">
        <w:r w:rsidRPr="003F6398">
          <w:rPr>
            <w:rStyle w:val="Hyperlink"/>
            <w:noProof/>
          </w:rPr>
          <w:t>Table 5 Net-to-Gross Ratios</w:t>
        </w:r>
        <w:r>
          <w:rPr>
            <w:noProof/>
            <w:webHidden/>
          </w:rPr>
          <w:tab/>
        </w:r>
        <w:r>
          <w:rPr>
            <w:noProof/>
            <w:webHidden/>
          </w:rPr>
          <w:fldChar w:fldCharType="begin"/>
        </w:r>
        <w:r>
          <w:rPr>
            <w:noProof/>
            <w:webHidden/>
          </w:rPr>
          <w:instrText xml:space="preserve"> PAGEREF _Toc2804937 \h </w:instrText>
        </w:r>
        <w:r>
          <w:rPr>
            <w:noProof/>
            <w:webHidden/>
          </w:rPr>
        </w:r>
        <w:r>
          <w:rPr>
            <w:noProof/>
            <w:webHidden/>
          </w:rPr>
          <w:fldChar w:fldCharType="separate"/>
        </w:r>
        <w:r>
          <w:rPr>
            <w:noProof/>
            <w:webHidden/>
          </w:rPr>
          <w:t>7</w:t>
        </w:r>
        <w:r>
          <w:rPr>
            <w:noProof/>
            <w:webHidden/>
          </w:rPr>
          <w:fldChar w:fldCharType="end"/>
        </w:r>
      </w:hyperlink>
    </w:p>
    <w:p w14:paraId="5F562118" w14:textId="77777777" w:rsidR="002803E7" w:rsidRDefault="002803E7">
      <w:pPr>
        <w:pStyle w:val="TableofFigures"/>
        <w:tabs>
          <w:tab w:val="right" w:leader="dot" w:pos="9350"/>
        </w:tabs>
        <w:rPr>
          <w:rFonts w:asciiTheme="minorHAnsi" w:eastAsiaTheme="minorEastAsia" w:hAnsiTheme="minorHAnsi" w:cstheme="minorBidi"/>
          <w:noProof/>
          <w:sz w:val="22"/>
          <w:szCs w:val="22"/>
        </w:rPr>
      </w:pPr>
      <w:hyperlink w:anchor="_Toc2804938" w:history="1">
        <w:r w:rsidRPr="003F6398">
          <w:rPr>
            <w:rStyle w:val="Hyperlink"/>
            <w:noProof/>
          </w:rPr>
          <w:t>Table 6 Installation Rates</w:t>
        </w:r>
        <w:r>
          <w:rPr>
            <w:noProof/>
            <w:webHidden/>
          </w:rPr>
          <w:tab/>
        </w:r>
        <w:r>
          <w:rPr>
            <w:noProof/>
            <w:webHidden/>
          </w:rPr>
          <w:fldChar w:fldCharType="begin"/>
        </w:r>
        <w:r>
          <w:rPr>
            <w:noProof/>
            <w:webHidden/>
          </w:rPr>
          <w:instrText xml:space="preserve"> PAGEREF _Toc2804938 \h </w:instrText>
        </w:r>
        <w:r>
          <w:rPr>
            <w:noProof/>
            <w:webHidden/>
          </w:rPr>
        </w:r>
        <w:r>
          <w:rPr>
            <w:noProof/>
            <w:webHidden/>
          </w:rPr>
          <w:fldChar w:fldCharType="separate"/>
        </w:r>
        <w:r>
          <w:rPr>
            <w:noProof/>
            <w:webHidden/>
          </w:rPr>
          <w:t>7</w:t>
        </w:r>
        <w:r>
          <w:rPr>
            <w:noProof/>
            <w:webHidden/>
          </w:rPr>
          <w:fldChar w:fldCharType="end"/>
        </w:r>
      </w:hyperlink>
    </w:p>
    <w:p w14:paraId="06409088" w14:textId="77777777" w:rsidR="002803E7" w:rsidRDefault="002803E7">
      <w:pPr>
        <w:pStyle w:val="TableofFigures"/>
        <w:tabs>
          <w:tab w:val="right" w:leader="dot" w:pos="9350"/>
        </w:tabs>
        <w:rPr>
          <w:rFonts w:asciiTheme="minorHAnsi" w:eastAsiaTheme="minorEastAsia" w:hAnsiTheme="minorHAnsi" w:cstheme="minorBidi"/>
          <w:noProof/>
          <w:sz w:val="22"/>
          <w:szCs w:val="22"/>
        </w:rPr>
      </w:pPr>
      <w:hyperlink w:anchor="_Toc2804939" w:history="1">
        <w:r w:rsidRPr="003F6398">
          <w:rPr>
            <w:rStyle w:val="Hyperlink"/>
            <w:noProof/>
          </w:rPr>
          <w:t>Table 7 Effective Useful Life/Remaining Useful Life</w:t>
        </w:r>
        <w:r>
          <w:rPr>
            <w:noProof/>
            <w:webHidden/>
          </w:rPr>
          <w:tab/>
        </w:r>
        <w:r>
          <w:rPr>
            <w:noProof/>
            <w:webHidden/>
          </w:rPr>
          <w:fldChar w:fldCharType="begin"/>
        </w:r>
        <w:r>
          <w:rPr>
            <w:noProof/>
            <w:webHidden/>
          </w:rPr>
          <w:instrText xml:space="preserve"> PAGEREF _Toc2804939 \h </w:instrText>
        </w:r>
        <w:r>
          <w:rPr>
            <w:noProof/>
            <w:webHidden/>
          </w:rPr>
        </w:r>
        <w:r>
          <w:rPr>
            <w:noProof/>
            <w:webHidden/>
          </w:rPr>
          <w:fldChar w:fldCharType="separate"/>
        </w:r>
        <w:r>
          <w:rPr>
            <w:noProof/>
            <w:webHidden/>
          </w:rPr>
          <w:t>7</w:t>
        </w:r>
        <w:r>
          <w:rPr>
            <w:noProof/>
            <w:webHidden/>
          </w:rPr>
          <w:fldChar w:fldCharType="end"/>
        </w:r>
      </w:hyperlink>
    </w:p>
    <w:p w14:paraId="75F559B7" w14:textId="77777777" w:rsidR="002803E7" w:rsidRDefault="002803E7">
      <w:pPr>
        <w:pStyle w:val="TableofFigures"/>
        <w:tabs>
          <w:tab w:val="right" w:leader="dot" w:pos="9350"/>
        </w:tabs>
        <w:rPr>
          <w:rFonts w:asciiTheme="minorHAnsi" w:eastAsiaTheme="minorEastAsia" w:hAnsiTheme="minorHAnsi" w:cstheme="minorBidi"/>
          <w:noProof/>
          <w:sz w:val="22"/>
          <w:szCs w:val="22"/>
        </w:rPr>
      </w:pPr>
      <w:hyperlink w:anchor="_Toc2804940" w:history="1">
        <w:r w:rsidRPr="003F6398">
          <w:rPr>
            <w:rStyle w:val="Hyperlink"/>
            <w:noProof/>
          </w:rPr>
          <w:t>Table 9 Base Case Technology Percentage Mix</w:t>
        </w:r>
        <w:r>
          <w:rPr>
            <w:noProof/>
            <w:webHidden/>
          </w:rPr>
          <w:tab/>
        </w:r>
        <w:r>
          <w:rPr>
            <w:noProof/>
            <w:webHidden/>
          </w:rPr>
          <w:fldChar w:fldCharType="begin"/>
        </w:r>
        <w:r>
          <w:rPr>
            <w:noProof/>
            <w:webHidden/>
          </w:rPr>
          <w:instrText xml:space="preserve"> PAGEREF _Toc2804940 \h </w:instrText>
        </w:r>
        <w:r>
          <w:rPr>
            <w:noProof/>
            <w:webHidden/>
          </w:rPr>
        </w:r>
        <w:r>
          <w:rPr>
            <w:noProof/>
            <w:webHidden/>
          </w:rPr>
          <w:fldChar w:fldCharType="separate"/>
        </w:r>
        <w:r>
          <w:rPr>
            <w:noProof/>
            <w:webHidden/>
          </w:rPr>
          <w:t>18</w:t>
        </w:r>
        <w:r>
          <w:rPr>
            <w:noProof/>
            <w:webHidden/>
          </w:rPr>
          <w:fldChar w:fldCharType="end"/>
        </w:r>
      </w:hyperlink>
    </w:p>
    <w:p w14:paraId="607FB70B" w14:textId="77777777" w:rsidR="002803E7" w:rsidRDefault="002803E7">
      <w:pPr>
        <w:pStyle w:val="TableofFigures"/>
        <w:tabs>
          <w:tab w:val="right" w:leader="dot" w:pos="9350"/>
        </w:tabs>
        <w:rPr>
          <w:rFonts w:asciiTheme="minorHAnsi" w:eastAsiaTheme="minorEastAsia" w:hAnsiTheme="minorHAnsi" w:cstheme="minorBidi"/>
          <w:noProof/>
          <w:sz w:val="22"/>
          <w:szCs w:val="22"/>
        </w:rPr>
      </w:pPr>
      <w:hyperlink w:anchor="_Toc2804941" w:history="1">
        <w:r w:rsidRPr="003F6398">
          <w:rPr>
            <w:rStyle w:val="Hyperlink"/>
            <w:noProof/>
          </w:rPr>
          <w:t>Table 10 DLC v 4.4 and Zonal Lumens Distribution Requirements</w:t>
        </w:r>
        <w:r>
          <w:rPr>
            <w:noProof/>
            <w:webHidden/>
          </w:rPr>
          <w:tab/>
        </w:r>
        <w:r>
          <w:rPr>
            <w:noProof/>
            <w:webHidden/>
          </w:rPr>
          <w:fldChar w:fldCharType="begin"/>
        </w:r>
        <w:r>
          <w:rPr>
            <w:noProof/>
            <w:webHidden/>
          </w:rPr>
          <w:instrText xml:space="preserve"> PAGEREF _Toc2804941 \h </w:instrText>
        </w:r>
        <w:r>
          <w:rPr>
            <w:noProof/>
            <w:webHidden/>
          </w:rPr>
        </w:r>
        <w:r>
          <w:rPr>
            <w:noProof/>
            <w:webHidden/>
          </w:rPr>
          <w:fldChar w:fldCharType="separate"/>
        </w:r>
        <w:r>
          <w:rPr>
            <w:noProof/>
            <w:webHidden/>
          </w:rPr>
          <w:t>20</w:t>
        </w:r>
        <w:r>
          <w:rPr>
            <w:noProof/>
            <w:webHidden/>
          </w:rPr>
          <w:fldChar w:fldCharType="end"/>
        </w:r>
      </w:hyperlink>
    </w:p>
    <w:p w14:paraId="1E9DFAB0" w14:textId="77777777" w:rsidR="002803E7" w:rsidRDefault="002803E7">
      <w:pPr>
        <w:pStyle w:val="TableofFigures"/>
        <w:tabs>
          <w:tab w:val="right" w:leader="dot" w:pos="9350"/>
        </w:tabs>
        <w:rPr>
          <w:rFonts w:asciiTheme="minorHAnsi" w:eastAsiaTheme="minorEastAsia" w:hAnsiTheme="minorHAnsi" w:cstheme="minorBidi"/>
          <w:noProof/>
          <w:sz w:val="22"/>
          <w:szCs w:val="22"/>
        </w:rPr>
      </w:pPr>
      <w:hyperlink w:anchor="_Toc2804942" w:history="1">
        <w:r w:rsidRPr="003F6398">
          <w:rPr>
            <w:rStyle w:val="Hyperlink"/>
            <w:noProof/>
          </w:rPr>
          <w:t>Table 11 Industrial Products Efficacy Percentiles from Lighting Facts</w:t>
        </w:r>
        <w:r>
          <w:rPr>
            <w:noProof/>
            <w:webHidden/>
          </w:rPr>
          <w:tab/>
        </w:r>
        <w:r>
          <w:rPr>
            <w:noProof/>
            <w:webHidden/>
          </w:rPr>
          <w:fldChar w:fldCharType="begin"/>
        </w:r>
        <w:r>
          <w:rPr>
            <w:noProof/>
            <w:webHidden/>
          </w:rPr>
          <w:instrText xml:space="preserve"> PAGEREF _Toc2804942 \h </w:instrText>
        </w:r>
        <w:r>
          <w:rPr>
            <w:noProof/>
            <w:webHidden/>
          </w:rPr>
        </w:r>
        <w:r>
          <w:rPr>
            <w:noProof/>
            <w:webHidden/>
          </w:rPr>
          <w:fldChar w:fldCharType="separate"/>
        </w:r>
        <w:r>
          <w:rPr>
            <w:noProof/>
            <w:webHidden/>
          </w:rPr>
          <w:t>23</w:t>
        </w:r>
        <w:r>
          <w:rPr>
            <w:noProof/>
            <w:webHidden/>
          </w:rPr>
          <w:fldChar w:fldCharType="end"/>
        </w:r>
      </w:hyperlink>
    </w:p>
    <w:p w14:paraId="2DA6F5AD" w14:textId="77777777" w:rsidR="002803E7" w:rsidRDefault="002803E7">
      <w:pPr>
        <w:pStyle w:val="TableofFigures"/>
        <w:tabs>
          <w:tab w:val="right" w:leader="dot" w:pos="9350"/>
        </w:tabs>
        <w:rPr>
          <w:rFonts w:asciiTheme="minorHAnsi" w:eastAsiaTheme="minorEastAsia" w:hAnsiTheme="minorHAnsi" w:cstheme="minorBidi"/>
          <w:noProof/>
          <w:sz w:val="22"/>
          <w:szCs w:val="22"/>
        </w:rPr>
      </w:pPr>
      <w:hyperlink w:anchor="_Toc2804943" w:history="1">
        <w:r w:rsidRPr="003F6398">
          <w:rPr>
            <w:rStyle w:val="Hyperlink"/>
            <w:noProof/>
          </w:rPr>
          <w:t>Table 12 Wattage Bin Method (Previous)</w:t>
        </w:r>
        <w:r>
          <w:rPr>
            <w:noProof/>
            <w:webHidden/>
          </w:rPr>
          <w:tab/>
        </w:r>
        <w:r>
          <w:rPr>
            <w:noProof/>
            <w:webHidden/>
          </w:rPr>
          <w:fldChar w:fldCharType="begin"/>
        </w:r>
        <w:r>
          <w:rPr>
            <w:noProof/>
            <w:webHidden/>
          </w:rPr>
          <w:instrText xml:space="preserve"> PAGEREF _Toc2804943 \h </w:instrText>
        </w:r>
        <w:r>
          <w:rPr>
            <w:noProof/>
            <w:webHidden/>
          </w:rPr>
        </w:r>
        <w:r>
          <w:rPr>
            <w:noProof/>
            <w:webHidden/>
          </w:rPr>
          <w:fldChar w:fldCharType="separate"/>
        </w:r>
        <w:r>
          <w:rPr>
            <w:noProof/>
            <w:webHidden/>
          </w:rPr>
          <w:t>24</w:t>
        </w:r>
        <w:r>
          <w:rPr>
            <w:noProof/>
            <w:webHidden/>
          </w:rPr>
          <w:fldChar w:fldCharType="end"/>
        </w:r>
      </w:hyperlink>
    </w:p>
    <w:p w14:paraId="792BA91D" w14:textId="77777777" w:rsidR="002803E7" w:rsidRDefault="002803E7">
      <w:pPr>
        <w:pStyle w:val="TableofFigures"/>
        <w:tabs>
          <w:tab w:val="right" w:leader="dot" w:pos="9350"/>
        </w:tabs>
        <w:rPr>
          <w:rFonts w:asciiTheme="minorHAnsi" w:eastAsiaTheme="minorEastAsia" w:hAnsiTheme="minorHAnsi" w:cstheme="minorBidi"/>
          <w:noProof/>
          <w:sz w:val="22"/>
          <w:szCs w:val="22"/>
        </w:rPr>
      </w:pPr>
      <w:hyperlink w:anchor="_Toc2804944" w:history="1">
        <w:r w:rsidRPr="003F6398">
          <w:rPr>
            <w:rStyle w:val="Hyperlink"/>
            <w:noProof/>
          </w:rPr>
          <w:t>Table 13 Lumen Bin Method (Proposed)</w:t>
        </w:r>
        <w:r>
          <w:rPr>
            <w:noProof/>
            <w:webHidden/>
          </w:rPr>
          <w:tab/>
        </w:r>
        <w:r>
          <w:rPr>
            <w:noProof/>
            <w:webHidden/>
          </w:rPr>
          <w:fldChar w:fldCharType="begin"/>
        </w:r>
        <w:r>
          <w:rPr>
            <w:noProof/>
            <w:webHidden/>
          </w:rPr>
          <w:instrText xml:space="preserve"> PAGEREF _Toc2804944 \h </w:instrText>
        </w:r>
        <w:r>
          <w:rPr>
            <w:noProof/>
            <w:webHidden/>
          </w:rPr>
        </w:r>
        <w:r>
          <w:rPr>
            <w:noProof/>
            <w:webHidden/>
          </w:rPr>
          <w:fldChar w:fldCharType="separate"/>
        </w:r>
        <w:r>
          <w:rPr>
            <w:noProof/>
            <w:webHidden/>
          </w:rPr>
          <w:t>24</w:t>
        </w:r>
        <w:r>
          <w:rPr>
            <w:noProof/>
            <w:webHidden/>
          </w:rPr>
          <w:fldChar w:fldCharType="end"/>
        </w:r>
      </w:hyperlink>
    </w:p>
    <w:p w14:paraId="1B03B160" w14:textId="77777777" w:rsidR="002803E7" w:rsidRDefault="002803E7">
      <w:pPr>
        <w:pStyle w:val="TableofFigures"/>
        <w:tabs>
          <w:tab w:val="right" w:leader="dot" w:pos="9350"/>
        </w:tabs>
        <w:rPr>
          <w:rFonts w:asciiTheme="minorHAnsi" w:eastAsiaTheme="minorEastAsia" w:hAnsiTheme="minorHAnsi" w:cstheme="minorBidi"/>
          <w:noProof/>
          <w:sz w:val="22"/>
          <w:szCs w:val="22"/>
        </w:rPr>
      </w:pPr>
      <w:hyperlink w:anchor="_Toc2804945" w:history="1">
        <w:r w:rsidRPr="003F6398">
          <w:rPr>
            <w:rStyle w:val="Hyperlink"/>
            <w:noProof/>
          </w:rPr>
          <w:t>Table 14 LED High-Bay and Low-Bay Fixtures Base and Measure Wattages</w:t>
        </w:r>
        <w:r>
          <w:rPr>
            <w:noProof/>
            <w:webHidden/>
          </w:rPr>
          <w:tab/>
        </w:r>
        <w:r>
          <w:rPr>
            <w:noProof/>
            <w:webHidden/>
          </w:rPr>
          <w:fldChar w:fldCharType="begin"/>
        </w:r>
        <w:r>
          <w:rPr>
            <w:noProof/>
            <w:webHidden/>
          </w:rPr>
          <w:instrText xml:space="preserve"> PAGEREF _Toc2804945 \h </w:instrText>
        </w:r>
        <w:r>
          <w:rPr>
            <w:noProof/>
            <w:webHidden/>
          </w:rPr>
        </w:r>
        <w:r>
          <w:rPr>
            <w:noProof/>
            <w:webHidden/>
          </w:rPr>
          <w:fldChar w:fldCharType="separate"/>
        </w:r>
        <w:r>
          <w:rPr>
            <w:noProof/>
            <w:webHidden/>
          </w:rPr>
          <w:t>25</w:t>
        </w:r>
        <w:r>
          <w:rPr>
            <w:noProof/>
            <w:webHidden/>
          </w:rPr>
          <w:fldChar w:fldCharType="end"/>
        </w:r>
      </w:hyperlink>
    </w:p>
    <w:p w14:paraId="77B882AB" w14:textId="77777777" w:rsidR="002803E7" w:rsidRDefault="002803E7">
      <w:pPr>
        <w:pStyle w:val="TableofFigures"/>
        <w:tabs>
          <w:tab w:val="right" w:leader="dot" w:pos="9350"/>
        </w:tabs>
        <w:rPr>
          <w:rFonts w:asciiTheme="minorHAnsi" w:eastAsiaTheme="minorEastAsia" w:hAnsiTheme="minorHAnsi" w:cstheme="minorBidi"/>
          <w:noProof/>
          <w:sz w:val="22"/>
          <w:szCs w:val="22"/>
        </w:rPr>
      </w:pPr>
      <w:hyperlink w:anchor="_Toc2804946" w:history="1">
        <w:r w:rsidRPr="003F6398">
          <w:rPr>
            <w:rStyle w:val="Hyperlink"/>
            <w:noProof/>
          </w:rPr>
          <w:t>Table 15 Example Calculation of Fixture Efficiency and Fixture Lumens</w:t>
        </w:r>
        <w:r>
          <w:rPr>
            <w:noProof/>
            <w:webHidden/>
          </w:rPr>
          <w:tab/>
        </w:r>
        <w:r>
          <w:rPr>
            <w:noProof/>
            <w:webHidden/>
          </w:rPr>
          <w:fldChar w:fldCharType="begin"/>
        </w:r>
        <w:r>
          <w:rPr>
            <w:noProof/>
            <w:webHidden/>
          </w:rPr>
          <w:instrText xml:space="preserve"> PAGEREF _Toc2804946 \h </w:instrText>
        </w:r>
        <w:r>
          <w:rPr>
            <w:noProof/>
            <w:webHidden/>
          </w:rPr>
        </w:r>
        <w:r>
          <w:rPr>
            <w:noProof/>
            <w:webHidden/>
          </w:rPr>
          <w:fldChar w:fldCharType="separate"/>
        </w:r>
        <w:r>
          <w:rPr>
            <w:noProof/>
            <w:webHidden/>
          </w:rPr>
          <w:t>26</w:t>
        </w:r>
        <w:r>
          <w:rPr>
            <w:noProof/>
            <w:webHidden/>
          </w:rPr>
          <w:fldChar w:fldCharType="end"/>
        </w:r>
      </w:hyperlink>
    </w:p>
    <w:p w14:paraId="7C79CF4E" w14:textId="77777777" w:rsidR="002803E7" w:rsidRDefault="002803E7">
      <w:pPr>
        <w:pStyle w:val="TableofFigures"/>
        <w:tabs>
          <w:tab w:val="right" w:leader="dot" w:pos="9350"/>
        </w:tabs>
        <w:rPr>
          <w:rFonts w:asciiTheme="minorHAnsi" w:eastAsiaTheme="minorEastAsia" w:hAnsiTheme="minorHAnsi" w:cstheme="minorBidi"/>
          <w:noProof/>
          <w:sz w:val="22"/>
          <w:szCs w:val="22"/>
        </w:rPr>
      </w:pPr>
      <w:hyperlink w:anchor="_Toc2804947" w:history="1">
        <w:r w:rsidRPr="003F6398">
          <w:rPr>
            <w:rStyle w:val="Hyperlink"/>
            <w:noProof/>
          </w:rPr>
          <w:t>Table 16 Equivalent LED Lumen Output for Similar Levels of Service</w:t>
        </w:r>
        <w:r>
          <w:rPr>
            <w:noProof/>
            <w:webHidden/>
          </w:rPr>
          <w:tab/>
        </w:r>
        <w:r>
          <w:rPr>
            <w:noProof/>
            <w:webHidden/>
          </w:rPr>
          <w:fldChar w:fldCharType="begin"/>
        </w:r>
        <w:r>
          <w:rPr>
            <w:noProof/>
            <w:webHidden/>
          </w:rPr>
          <w:instrText xml:space="preserve"> PAGEREF _Toc2804947 \h </w:instrText>
        </w:r>
        <w:r>
          <w:rPr>
            <w:noProof/>
            <w:webHidden/>
          </w:rPr>
        </w:r>
        <w:r>
          <w:rPr>
            <w:noProof/>
            <w:webHidden/>
          </w:rPr>
          <w:fldChar w:fldCharType="separate"/>
        </w:r>
        <w:r>
          <w:rPr>
            <w:noProof/>
            <w:webHidden/>
          </w:rPr>
          <w:t>26</w:t>
        </w:r>
        <w:r>
          <w:rPr>
            <w:noProof/>
            <w:webHidden/>
          </w:rPr>
          <w:fldChar w:fldCharType="end"/>
        </w:r>
      </w:hyperlink>
    </w:p>
    <w:p w14:paraId="6812E6D5" w14:textId="77777777" w:rsidR="002803E7" w:rsidRDefault="002803E7">
      <w:pPr>
        <w:pStyle w:val="TableofFigures"/>
        <w:tabs>
          <w:tab w:val="right" w:leader="dot" w:pos="9350"/>
        </w:tabs>
        <w:rPr>
          <w:rFonts w:asciiTheme="minorHAnsi" w:eastAsiaTheme="minorEastAsia" w:hAnsiTheme="minorHAnsi" w:cstheme="minorBidi"/>
          <w:noProof/>
          <w:sz w:val="22"/>
          <w:szCs w:val="22"/>
        </w:rPr>
      </w:pPr>
      <w:hyperlink w:anchor="_Toc2804948" w:history="1">
        <w:r w:rsidRPr="003F6398">
          <w:rPr>
            <w:rStyle w:val="Hyperlink"/>
            <w:noProof/>
          </w:rPr>
          <w:t>Table 17 Incremental and Full Measure Cost Equations</w:t>
        </w:r>
        <w:r>
          <w:rPr>
            <w:noProof/>
            <w:webHidden/>
          </w:rPr>
          <w:tab/>
        </w:r>
        <w:r>
          <w:rPr>
            <w:noProof/>
            <w:webHidden/>
          </w:rPr>
          <w:fldChar w:fldCharType="begin"/>
        </w:r>
        <w:r>
          <w:rPr>
            <w:noProof/>
            <w:webHidden/>
          </w:rPr>
          <w:instrText xml:space="preserve"> PAGEREF _Toc2804948 \h </w:instrText>
        </w:r>
        <w:r>
          <w:rPr>
            <w:noProof/>
            <w:webHidden/>
          </w:rPr>
        </w:r>
        <w:r>
          <w:rPr>
            <w:noProof/>
            <w:webHidden/>
          </w:rPr>
          <w:fldChar w:fldCharType="separate"/>
        </w:r>
        <w:r>
          <w:rPr>
            <w:noProof/>
            <w:webHidden/>
          </w:rPr>
          <w:t>29</w:t>
        </w:r>
        <w:r>
          <w:rPr>
            <w:noProof/>
            <w:webHidden/>
          </w:rPr>
          <w:fldChar w:fldCharType="end"/>
        </w:r>
      </w:hyperlink>
    </w:p>
    <w:p w14:paraId="764A8803" w14:textId="13F24E7C" w:rsidR="005A1F9D" w:rsidRDefault="00A57045" w:rsidP="00127B4E">
      <w:pPr>
        <w:spacing w:line="264" w:lineRule="auto"/>
      </w:pPr>
      <w:r w:rsidRPr="002C3514">
        <w:fldChar w:fldCharType="end"/>
      </w:r>
      <w:r w:rsidR="005A1F9D" w:rsidRPr="005A1F9D">
        <w:t xml:space="preserve"> </w:t>
      </w:r>
    </w:p>
    <w:p w14:paraId="2450E509" w14:textId="77777777" w:rsidR="00851FAF" w:rsidRDefault="00851FAF" w:rsidP="00ED21EE">
      <w:pPr>
        <w:pStyle w:val="Heading1"/>
        <w:sectPr w:rsidR="00851FAF" w:rsidSect="00262365">
          <w:endnotePr>
            <w:numFmt w:val="decimal"/>
          </w:endnotePr>
          <w:pgSz w:w="12240" w:h="15840"/>
          <w:pgMar w:top="1440" w:right="1440" w:bottom="1440" w:left="1440" w:header="720" w:footer="720" w:gutter="0"/>
          <w:pgNumType w:fmt="lowerRoman" w:chapStyle="1"/>
          <w:cols w:space="720"/>
          <w:docGrid w:linePitch="360"/>
        </w:sectPr>
      </w:pPr>
      <w:bookmarkStart w:id="14" w:name="_Toc172205732"/>
    </w:p>
    <w:p w14:paraId="1652C3F8" w14:textId="3B75BBE5" w:rsidR="002C3514" w:rsidRPr="00127B4E" w:rsidRDefault="002C3514" w:rsidP="00127B4E">
      <w:pPr>
        <w:pStyle w:val="Heading1"/>
        <w:spacing w:before="120"/>
        <w:rPr>
          <w:sz w:val="28"/>
          <w:szCs w:val="28"/>
        </w:rPr>
      </w:pPr>
      <w:bookmarkStart w:id="15" w:name="_Toc511038025"/>
      <w:bookmarkStart w:id="16" w:name="_Toc2804898"/>
      <w:r w:rsidRPr="00127B4E">
        <w:rPr>
          <w:sz w:val="28"/>
          <w:szCs w:val="28"/>
        </w:rPr>
        <w:lastRenderedPageBreak/>
        <w:t>List of Figures</w:t>
      </w:r>
      <w:bookmarkEnd w:id="16"/>
    </w:p>
    <w:p w14:paraId="29CD2D9D" w14:textId="77777777" w:rsidR="002803E7" w:rsidRDefault="002C3514">
      <w:pPr>
        <w:pStyle w:val="TableofFigures"/>
        <w:tabs>
          <w:tab w:val="right" w:leader="dot" w:pos="9350"/>
        </w:tabs>
        <w:rPr>
          <w:rFonts w:asciiTheme="minorHAnsi" w:eastAsiaTheme="minorEastAsia" w:hAnsiTheme="minorHAnsi" w:cstheme="minorBidi"/>
          <w:noProof/>
          <w:sz w:val="22"/>
          <w:szCs w:val="22"/>
        </w:rPr>
      </w:pPr>
      <w:r w:rsidRPr="00C426D4">
        <w:fldChar w:fldCharType="begin"/>
      </w:r>
      <w:r w:rsidRPr="00C426D4">
        <w:instrText xml:space="preserve"> TOC \h \z \c "Figure" </w:instrText>
      </w:r>
      <w:r w:rsidRPr="00C426D4">
        <w:fldChar w:fldCharType="separate"/>
      </w:r>
      <w:hyperlink w:anchor="_Toc2804949" w:history="1">
        <w:r w:rsidR="002803E7" w:rsidRPr="00717E7C">
          <w:rPr>
            <w:rStyle w:val="Hyperlink"/>
            <w:noProof/>
          </w:rPr>
          <w:t>Figure 1 Web-based LED Price and Efficacy Data for Recessed Troffer/Panel 2’ x 4’</w:t>
        </w:r>
        <w:r w:rsidR="002803E7">
          <w:rPr>
            <w:noProof/>
            <w:webHidden/>
          </w:rPr>
          <w:tab/>
        </w:r>
        <w:r w:rsidR="002803E7">
          <w:rPr>
            <w:noProof/>
            <w:webHidden/>
          </w:rPr>
          <w:fldChar w:fldCharType="begin"/>
        </w:r>
        <w:r w:rsidR="002803E7">
          <w:rPr>
            <w:noProof/>
            <w:webHidden/>
          </w:rPr>
          <w:instrText xml:space="preserve"> PAGEREF _Toc2804949 \h </w:instrText>
        </w:r>
        <w:r w:rsidR="002803E7">
          <w:rPr>
            <w:noProof/>
            <w:webHidden/>
          </w:rPr>
        </w:r>
        <w:r w:rsidR="002803E7">
          <w:rPr>
            <w:noProof/>
            <w:webHidden/>
          </w:rPr>
          <w:fldChar w:fldCharType="separate"/>
        </w:r>
        <w:r w:rsidR="002803E7">
          <w:rPr>
            <w:noProof/>
            <w:webHidden/>
          </w:rPr>
          <w:t>10</w:t>
        </w:r>
        <w:r w:rsidR="002803E7">
          <w:rPr>
            <w:noProof/>
            <w:webHidden/>
          </w:rPr>
          <w:fldChar w:fldCharType="end"/>
        </w:r>
      </w:hyperlink>
    </w:p>
    <w:p w14:paraId="3F5BA39F" w14:textId="77777777" w:rsidR="002803E7" w:rsidRDefault="002803E7">
      <w:pPr>
        <w:pStyle w:val="TableofFigures"/>
        <w:tabs>
          <w:tab w:val="right" w:leader="dot" w:pos="9350"/>
        </w:tabs>
        <w:rPr>
          <w:rFonts w:asciiTheme="minorHAnsi" w:eastAsiaTheme="minorEastAsia" w:hAnsiTheme="minorHAnsi" w:cstheme="minorBidi"/>
          <w:noProof/>
          <w:sz w:val="22"/>
          <w:szCs w:val="22"/>
        </w:rPr>
      </w:pPr>
      <w:hyperlink w:anchor="_Toc2804950" w:history="1">
        <w:r w:rsidRPr="00717E7C">
          <w:rPr>
            <w:rStyle w:val="Hyperlink"/>
            <w:noProof/>
          </w:rPr>
          <w:t>Figure 2: NEMA Linear Lamp Penetration, Q2 2017</w:t>
        </w:r>
        <w:r>
          <w:rPr>
            <w:noProof/>
            <w:webHidden/>
          </w:rPr>
          <w:tab/>
        </w:r>
        <w:r>
          <w:rPr>
            <w:noProof/>
            <w:webHidden/>
          </w:rPr>
          <w:fldChar w:fldCharType="begin"/>
        </w:r>
        <w:r>
          <w:rPr>
            <w:noProof/>
            <w:webHidden/>
          </w:rPr>
          <w:instrText xml:space="preserve"> PAGEREF _Toc2804950 \h </w:instrText>
        </w:r>
        <w:r>
          <w:rPr>
            <w:noProof/>
            <w:webHidden/>
          </w:rPr>
        </w:r>
        <w:r>
          <w:rPr>
            <w:noProof/>
            <w:webHidden/>
          </w:rPr>
          <w:fldChar w:fldCharType="separate"/>
        </w:r>
        <w:r>
          <w:rPr>
            <w:noProof/>
            <w:webHidden/>
          </w:rPr>
          <w:t>14</w:t>
        </w:r>
        <w:r>
          <w:rPr>
            <w:noProof/>
            <w:webHidden/>
          </w:rPr>
          <w:fldChar w:fldCharType="end"/>
        </w:r>
      </w:hyperlink>
    </w:p>
    <w:p w14:paraId="39A0DE75" w14:textId="77777777" w:rsidR="002803E7" w:rsidRDefault="002803E7">
      <w:pPr>
        <w:pStyle w:val="TableofFigures"/>
        <w:tabs>
          <w:tab w:val="right" w:leader="dot" w:pos="9350"/>
        </w:tabs>
        <w:rPr>
          <w:rFonts w:asciiTheme="minorHAnsi" w:eastAsiaTheme="minorEastAsia" w:hAnsiTheme="minorHAnsi" w:cstheme="minorBidi"/>
          <w:noProof/>
          <w:sz w:val="22"/>
          <w:szCs w:val="22"/>
        </w:rPr>
      </w:pPr>
      <w:hyperlink w:anchor="_Toc2804951" w:history="1">
        <w:r w:rsidRPr="00717E7C">
          <w:rPr>
            <w:rStyle w:val="Hyperlink"/>
            <w:noProof/>
          </w:rPr>
          <w:t>Figure 3: Impact of TLEDs on IMC for LED Troffer measures</w:t>
        </w:r>
        <w:r>
          <w:rPr>
            <w:noProof/>
            <w:webHidden/>
          </w:rPr>
          <w:tab/>
        </w:r>
        <w:r>
          <w:rPr>
            <w:noProof/>
            <w:webHidden/>
          </w:rPr>
          <w:fldChar w:fldCharType="begin"/>
        </w:r>
        <w:r>
          <w:rPr>
            <w:noProof/>
            <w:webHidden/>
          </w:rPr>
          <w:instrText xml:space="preserve"> PAGEREF _Toc2804951 \h </w:instrText>
        </w:r>
        <w:r>
          <w:rPr>
            <w:noProof/>
            <w:webHidden/>
          </w:rPr>
        </w:r>
        <w:r>
          <w:rPr>
            <w:noProof/>
            <w:webHidden/>
          </w:rPr>
          <w:fldChar w:fldCharType="separate"/>
        </w:r>
        <w:r>
          <w:rPr>
            <w:noProof/>
            <w:webHidden/>
          </w:rPr>
          <w:t>15</w:t>
        </w:r>
        <w:r>
          <w:rPr>
            <w:noProof/>
            <w:webHidden/>
          </w:rPr>
          <w:fldChar w:fldCharType="end"/>
        </w:r>
      </w:hyperlink>
    </w:p>
    <w:p w14:paraId="6B830438" w14:textId="77777777" w:rsidR="002803E7" w:rsidRDefault="002803E7">
      <w:pPr>
        <w:pStyle w:val="TableofFigures"/>
        <w:tabs>
          <w:tab w:val="right" w:leader="dot" w:pos="9350"/>
        </w:tabs>
        <w:rPr>
          <w:rFonts w:asciiTheme="minorHAnsi" w:eastAsiaTheme="minorEastAsia" w:hAnsiTheme="minorHAnsi" w:cstheme="minorBidi"/>
          <w:noProof/>
          <w:sz w:val="22"/>
          <w:szCs w:val="22"/>
        </w:rPr>
      </w:pPr>
      <w:hyperlink w:anchor="_Toc2804952" w:history="1">
        <w:r w:rsidRPr="00717E7C">
          <w:rPr>
            <w:rStyle w:val="Hyperlink"/>
            <w:noProof/>
          </w:rPr>
          <w:t>Figure 4 Example of Zonal Lumen in the 20 – 50 degrees</w:t>
        </w:r>
        <w:r>
          <w:rPr>
            <w:noProof/>
            <w:webHidden/>
          </w:rPr>
          <w:tab/>
        </w:r>
        <w:r>
          <w:rPr>
            <w:noProof/>
            <w:webHidden/>
          </w:rPr>
          <w:fldChar w:fldCharType="begin"/>
        </w:r>
        <w:r>
          <w:rPr>
            <w:noProof/>
            <w:webHidden/>
          </w:rPr>
          <w:instrText xml:space="preserve"> PAGEREF _Toc2804952 \h </w:instrText>
        </w:r>
        <w:r>
          <w:rPr>
            <w:noProof/>
            <w:webHidden/>
          </w:rPr>
        </w:r>
        <w:r>
          <w:rPr>
            <w:noProof/>
            <w:webHidden/>
          </w:rPr>
          <w:fldChar w:fldCharType="separate"/>
        </w:r>
        <w:r>
          <w:rPr>
            <w:noProof/>
            <w:webHidden/>
          </w:rPr>
          <w:t>20</w:t>
        </w:r>
        <w:r>
          <w:rPr>
            <w:noProof/>
            <w:webHidden/>
          </w:rPr>
          <w:fldChar w:fldCharType="end"/>
        </w:r>
      </w:hyperlink>
    </w:p>
    <w:p w14:paraId="1C45D0C2" w14:textId="77777777" w:rsidR="002803E7" w:rsidRDefault="002803E7">
      <w:pPr>
        <w:pStyle w:val="TableofFigures"/>
        <w:tabs>
          <w:tab w:val="right" w:leader="dot" w:pos="9350"/>
        </w:tabs>
        <w:rPr>
          <w:rFonts w:asciiTheme="minorHAnsi" w:eastAsiaTheme="minorEastAsia" w:hAnsiTheme="minorHAnsi" w:cstheme="minorBidi"/>
          <w:noProof/>
          <w:sz w:val="22"/>
          <w:szCs w:val="22"/>
        </w:rPr>
      </w:pPr>
      <w:hyperlink w:anchor="_Toc2804953" w:history="1">
        <w:r w:rsidRPr="00717E7C">
          <w:rPr>
            <w:rStyle w:val="Hyperlink"/>
            <w:noProof/>
          </w:rPr>
          <w:t>Figure 5 HPT8/T5 Linear Fluorescent Highbay Fixture Program Data, 2013-2017</w:t>
        </w:r>
        <w:r>
          <w:rPr>
            <w:noProof/>
            <w:webHidden/>
          </w:rPr>
          <w:tab/>
        </w:r>
        <w:r>
          <w:rPr>
            <w:noProof/>
            <w:webHidden/>
          </w:rPr>
          <w:fldChar w:fldCharType="begin"/>
        </w:r>
        <w:r>
          <w:rPr>
            <w:noProof/>
            <w:webHidden/>
          </w:rPr>
          <w:instrText xml:space="preserve"> PAGEREF _Toc2804953 \h </w:instrText>
        </w:r>
        <w:r>
          <w:rPr>
            <w:noProof/>
            <w:webHidden/>
          </w:rPr>
        </w:r>
        <w:r>
          <w:rPr>
            <w:noProof/>
            <w:webHidden/>
          </w:rPr>
          <w:fldChar w:fldCharType="separate"/>
        </w:r>
        <w:r>
          <w:rPr>
            <w:noProof/>
            <w:webHidden/>
          </w:rPr>
          <w:t>22</w:t>
        </w:r>
        <w:r>
          <w:rPr>
            <w:noProof/>
            <w:webHidden/>
          </w:rPr>
          <w:fldChar w:fldCharType="end"/>
        </w:r>
      </w:hyperlink>
    </w:p>
    <w:p w14:paraId="4E6F4D2E" w14:textId="0F6D2E9A" w:rsidR="00ED21EE" w:rsidRPr="00127B4E" w:rsidRDefault="002C3514" w:rsidP="00127B4E">
      <w:pPr>
        <w:spacing w:line="264" w:lineRule="auto"/>
        <w:rPr>
          <w:rFonts w:ascii="Arial" w:hAnsi="Arial" w:cs="Arial"/>
          <w:b/>
          <w:sz w:val="32"/>
          <w:szCs w:val="32"/>
        </w:rPr>
      </w:pPr>
      <w:r w:rsidRPr="00C426D4">
        <w:fldChar w:fldCharType="end"/>
      </w:r>
      <w:r>
        <w:br w:type="page"/>
      </w:r>
      <w:r w:rsidR="00FC0A3B" w:rsidRPr="00127B4E">
        <w:rPr>
          <w:rFonts w:ascii="Arial" w:hAnsi="Arial" w:cs="Arial"/>
          <w:b/>
          <w:sz w:val="32"/>
          <w:szCs w:val="32"/>
        </w:rPr>
        <w:lastRenderedPageBreak/>
        <w:t>Section 1</w:t>
      </w:r>
      <w:r w:rsidR="00ED21EE" w:rsidRPr="00127B4E">
        <w:rPr>
          <w:rFonts w:ascii="Arial" w:hAnsi="Arial" w:cs="Arial"/>
          <w:b/>
          <w:sz w:val="32"/>
          <w:szCs w:val="32"/>
        </w:rPr>
        <w:t xml:space="preserve"> General Measure &amp; Baseline Data</w:t>
      </w:r>
      <w:bookmarkEnd w:id="15"/>
    </w:p>
    <w:p w14:paraId="1EF0BF6B" w14:textId="12A71286" w:rsidR="00E71EF1" w:rsidRDefault="001248A3" w:rsidP="00127B4E">
      <w:pPr>
        <w:pStyle w:val="Heading2"/>
        <w:spacing w:after="0"/>
      </w:pPr>
      <w:bookmarkStart w:id="17" w:name="_Ref510938903"/>
      <w:bookmarkStart w:id="18" w:name="_Toc511038026"/>
      <w:bookmarkStart w:id="19" w:name="_Toc2804899"/>
      <w:bookmarkEnd w:id="14"/>
      <w:r>
        <w:t xml:space="preserve">1.1 </w:t>
      </w:r>
      <w:r w:rsidR="00E71EF1" w:rsidRPr="001248A3">
        <w:t>Measure Description &amp; Background</w:t>
      </w:r>
      <w:bookmarkEnd w:id="17"/>
      <w:bookmarkEnd w:id="18"/>
      <w:bookmarkEnd w:id="19"/>
    </w:p>
    <w:p w14:paraId="0929A73D" w14:textId="1641C007" w:rsidR="00763FAC" w:rsidRPr="00763FAC" w:rsidRDefault="00763FAC" w:rsidP="00763FAC">
      <w:pPr>
        <w:rPr>
          <w:rFonts w:ascii="Arial" w:hAnsi="Arial" w:cs="Arial"/>
          <w:sz w:val="20"/>
          <w:szCs w:val="20"/>
        </w:rPr>
      </w:pPr>
    </w:p>
    <w:p w14:paraId="65FE281B" w14:textId="2CD68BC7" w:rsidR="004F2AC9" w:rsidRPr="000E21E0" w:rsidRDefault="004F2AC9" w:rsidP="6DABEC87">
      <w:pPr>
        <w:rPr>
          <w:rFonts w:ascii="Arial" w:hAnsi="Arial" w:cs="Arial"/>
          <w:sz w:val="20"/>
        </w:rPr>
      </w:pPr>
      <w:r w:rsidRPr="000E21E0">
        <w:rPr>
          <w:rFonts w:ascii="Arial" w:hAnsi="Arial" w:cs="Arial"/>
          <w:sz w:val="20"/>
        </w:rPr>
        <w:t xml:space="preserve">PG&amp;E submitted PGECOLTG178 Revision 3 for Phase 2 review in September of 2017. CPUC staff issued a disposition </w:t>
      </w:r>
      <w:r w:rsidR="0011221E" w:rsidRPr="000E21E0">
        <w:rPr>
          <w:rFonts w:ascii="Arial" w:hAnsi="Arial" w:cs="Arial"/>
          <w:sz w:val="20"/>
        </w:rPr>
        <w:t xml:space="preserve">“PGECOLTG178r3_DetailedReview_29Sep2017-final1” in September 2017 </w:t>
      </w:r>
      <w:r w:rsidRPr="000E21E0">
        <w:rPr>
          <w:rFonts w:ascii="Arial" w:hAnsi="Arial" w:cs="Arial"/>
          <w:sz w:val="20"/>
        </w:rPr>
        <w:t>with direction to:</w:t>
      </w:r>
    </w:p>
    <w:p w14:paraId="62558CD1" w14:textId="610FA1AC" w:rsidR="004F2AC9" w:rsidRPr="000E21E0" w:rsidRDefault="004F2AC9" w:rsidP="6DABEC87">
      <w:pPr>
        <w:numPr>
          <w:ilvl w:val="0"/>
          <w:numId w:val="34"/>
        </w:numPr>
        <w:autoSpaceDE w:val="0"/>
        <w:autoSpaceDN w:val="0"/>
        <w:spacing w:line="264" w:lineRule="auto"/>
        <w:ind w:left="860" w:right="144"/>
        <w:contextualSpacing/>
        <w:rPr>
          <w:rFonts w:ascii="Arial" w:hAnsi="Arial" w:cs="Arial"/>
          <w:sz w:val="20"/>
        </w:rPr>
      </w:pPr>
      <w:r w:rsidRPr="000E21E0">
        <w:rPr>
          <w:rFonts w:ascii="Arial" w:hAnsi="Arial" w:cs="Arial"/>
          <w:sz w:val="20"/>
        </w:rPr>
        <w:t>Develop a standard practice baseline that reflects the typical mixtur</w:t>
      </w:r>
      <w:r w:rsidR="00B52C51">
        <w:rPr>
          <w:rFonts w:ascii="Arial" w:hAnsi="Arial" w:cs="Arial"/>
          <w:sz w:val="20"/>
        </w:rPr>
        <w:t xml:space="preserve">e of efficiency levels that are </w:t>
      </w:r>
      <w:r w:rsidRPr="000E21E0">
        <w:rPr>
          <w:rFonts w:ascii="Arial" w:hAnsi="Arial" w:cs="Arial"/>
          <w:sz w:val="20"/>
        </w:rPr>
        <w:t>currently selected in normal replacement situations.</w:t>
      </w:r>
    </w:p>
    <w:p w14:paraId="0708152E" w14:textId="77777777" w:rsidR="004F2AC9" w:rsidRPr="000E21E0" w:rsidRDefault="004F2AC9" w:rsidP="6DABEC87">
      <w:pPr>
        <w:numPr>
          <w:ilvl w:val="0"/>
          <w:numId w:val="34"/>
        </w:numPr>
        <w:autoSpaceDE w:val="0"/>
        <w:autoSpaceDN w:val="0"/>
        <w:spacing w:before="5" w:line="276" w:lineRule="auto"/>
        <w:ind w:left="860" w:right="238"/>
        <w:contextualSpacing/>
        <w:rPr>
          <w:rFonts w:ascii="Arial" w:hAnsi="Arial" w:cs="Arial"/>
          <w:sz w:val="20"/>
        </w:rPr>
      </w:pPr>
      <w:r w:rsidRPr="000E21E0">
        <w:rPr>
          <w:rFonts w:ascii="Arial" w:hAnsi="Arial" w:cs="Arial"/>
          <w:sz w:val="20"/>
        </w:rPr>
        <w:t>Define measure tiers in a way that assigns greater savings for higher performance products and place an efficacy floor on eligible products.</w:t>
      </w:r>
    </w:p>
    <w:p w14:paraId="5C2144B9" w14:textId="77777777" w:rsidR="004F2AC9" w:rsidRPr="000E21E0" w:rsidRDefault="004F2AC9" w:rsidP="6DABEC87">
      <w:pPr>
        <w:numPr>
          <w:ilvl w:val="0"/>
          <w:numId w:val="34"/>
        </w:numPr>
        <w:autoSpaceDE w:val="0"/>
        <w:autoSpaceDN w:val="0"/>
        <w:spacing w:line="276" w:lineRule="auto"/>
        <w:ind w:left="860" w:right="289"/>
        <w:contextualSpacing/>
        <w:rPr>
          <w:rFonts w:ascii="Arial" w:hAnsi="Arial" w:cs="Arial"/>
          <w:sz w:val="20"/>
        </w:rPr>
      </w:pPr>
      <w:r w:rsidRPr="000E21E0">
        <w:rPr>
          <w:rFonts w:ascii="Arial" w:hAnsi="Arial" w:cs="Arial"/>
          <w:sz w:val="20"/>
        </w:rPr>
        <w:t>Due to the rapid changes in the marketplace, review available products and typical practices at least annually and update the workpaper as the review indicates.</w:t>
      </w:r>
    </w:p>
    <w:p w14:paraId="03566432" w14:textId="77777777" w:rsidR="004F2AC9" w:rsidRPr="000E21E0" w:rsidRDefault="004F2AC9" w:rsidP="6DABEC87">
      <w:pPr>
        <w:numPr>
          <w:ilvl w:val="0"/>
          <w:numId w:val="34"/>
        </w:numPr>
        <w:autoSpaceDE w:val="0"/>
        <w:autoSpaceDN w:val="0"/>
        <w:spacing w:line="276" w:lineRule="auto"/>
        <w:ind w:left="860" w:right="398"/>
        <w:contextualSpacing/>
        <w:rPr>
          <w:rFonts w:ascii="Arial" w:hAnsi="Arial" w:cs="Arial"/>
          <w:sz w:val="20"/>
        </w:rPr>
      </w:pPr>
      <w:r w:rsidRPr="000E21E0">
        <w:rPr>
          <w:rFonts w:ascii="Arial" w:hAnsi="Arial" w:cs="Arial"/>
          <w:sz w:val="20"/>
        </w:rPr>
        <w:t>Revise measure definitions so that baseline and measure zonal lumen output levels represent similar levels of service.</w:t>
      </w:r>
    </w:p>
    <w:p w14:paraId="03BE834F" w14:textId="601ABE9A" w:rsidR="004F2AC9" w:rsidRPr="000E21E0" w:rsidRDefault="0011221E" w:rsidP="00E97EDE">
      <w:pPr>
        <w:spacing w:before="120" w:line="264" w:lineRule="auto"/>
        <w:jc w:val="both"/>
        <w:rPr>
          <w:rFonts w:ascii="Arial" w:hAnsi="Arial" w:cs="Arial"/>
          <w:sz w:val="20"/>
          <w:szCs w:val="20"/>
        </w:rPr>
      </w:pPr>
      <w:r w:rsidRPr="000E21E0">
        <w:rPr>
          <w:rFonts w:ascii="Arial" w:hAnsi="Arial" w:cs="Arial"/>
          <w:sz w:val="20"/>
          <w:szCs w:val="20"/>
        </w:rPr>
        <w:t xml:space="preserve">In early 2018 Commission staff issued workpaper dispositions for many types of LED lighting technologies and collaborative efforts between CPUC staff and PG&amp;E have resulted in the establishment of </w:t>
      </w:r>
      <w:r w:rsidR="007B68E7" w:rsidRPr="000E21E0">
        <w:rPr>
          <w:rFonts w:ascii="Arial" w:hAnsi="Arial" w:cs="Arial"/>
          <w:sz w:val="20"/>
          <w:szCs w:val="20"/>
        </w:rPr>
        <w:t>majority LED</w:t>
      </w:r>
      <w:r w:rsidRPr="000E21E0">
        <w:rPr>
          <w:rFonts w:ascii="Arial" w:hAnsi="Arial" w:cs="Arial"/>
          <w:sz w:val="20"/>
          <w:szCs w:val="20"/>
        </w:rPr>
        <w:t xml:space="preserve"> as the standard practice baseline for Normal Replacement (NR), New Construction (NC), Capacity Expansion (CE), and Replace-on-Burnout (ROB) measures in exterior, interior high-bay and interior low-bay lighting applications.  This direction was effective January 1, 2018 for exterior and parking garage lighting measures, and April 1, 2018 for interior high and low bay lighting measures.</w:t>
      </w:r>
      <w:r w:rsidR="007B68E7" w:rsidRPr="000E21E0">
        <w:rPr>
          <w:rFonts w:ascii="Arial" w:hAnsi="Arial" w:cs="Arial"/>
          <w:sz w:val="20"/>
          <w:szCs w:val="20"/>
        </w:rPr>
        <w:t xml:space="preserve"> For high-bay and low-bay measures in this workpaper, the baseline for LED measures is set at a maximum of 20% linear fluorescent for lower-output luminaires, with decreases in the fluorescent percentage to 10% and 0% as output increases, due to the availability of LED luminaires at high output levels where fluorescent fixture options are less common or non-existent.</w:t>
      </w:r>
    </w:p>
    <w:p w14:paraId="2E6DAC1F" w14:textId="5922FBC0" w:rsidR="00E97EDE" w:rsidRDefault="007B68E7" w:rsidP="00E97EDE">
      <w:pPr>
        <w:pStyle w:val="ListParagraph"/>
        <w:spacing w:before="120" w:line="264" w:lineRule="auto"/>
        <w:ind w:left="0"/>
        <w:rPr>
          <w:rFonts w:ascii="Arial" w:hAnsi="Arial" w:cs="Arial"/>
          <w:sz w:val="20"/>
        </w:rPr>
      </w:pPr>
      <w:r w:rsidRPr="000E21E0">
        <w:rPr>
          <w:rFonts w:ascii="Arial" w:hAnsi="Arial" w:cs="Arial"/>
          <w:sz w:val="20"/>
        </w:rPr>
        <w:t>At the April 1, 2018 effective date of the disposition,</w:t>
      </w:r>
      <w:r w:rsidR="003863C4" w:rsidRPr="000E21E0">
        <w:rPr>
          <w:rFonts w:ascii="Arial" w:hAnsi="Arial" w:cs="Arial"/>
          <w:sz w:val="20"/>
        </w:rPr>
        <w:t xml:space="preserve"> cost research conducted via program data review and web scraping </w:t>
      </w:r>
      <w:r w:rsidRPr="000E21E0">
        <w:rPr>
          <w:rFonts w:ascii="Arial" w:hAnsi="Arial" w:cs="Arial"/>
          <w:sz w:val="20"/>
        </w:rPr>
        <w:t xml:space="preserve">revealed </w:t>
      </w:r>
      <w:r w:rsidR="003863C4" w:rsidRPr="000E21E0">
        <w:rPr>
          <w:rFonts w:ascii="Arial" w:hAnsi="Arial" w:cs="Arial"/>
          <w:sz w:val="20"/>
        </w:rPr>
        <w:t>negative incremental measure costs (IMC</w:t>
      </w:r>
      <w:r w:rsidRPr="000E21E0">
        <w:rPr>
          <w:rFonts w:ascii="Arial" w:hAnsi="Arial" w:cs="Arial"/>
          <w:sz w:val="20"/>
        </w:rPr>
        <w:t>s</w:t>
      </w:r>
      <w:r w:rsidR="003863C4" w:rsidRPr="000E21E0">
        <w:rPr>
          <w:rFonts w:ascii="Arial" w:hAnsi="Arial" w:cs="Arial"/>
          <w:sz w:val="20"/>
        </w:rPr>
        <w:t xml:space="preserve">) </w:t>
      </w:r>
      <w:r w:rsidRPr="000E21E0">
        <w:rPr>
          <w:rFonts w:ascii="Arial" w:hAnsi="Arial" w:cs="Arial"/>
          <w:sz w:val="20"/>
        </w:rPr>
        <w:t>for the existing wattage bin structure</w:t>
      </w:r>
      <w:r w:rsidR="003863C4" w:rsidRPr="000E21E0">
        <w:rPr>
          <w:rFonts w:ascii="Arial" w:hAnsi="Arial" w:cs="Arial"/>
          <w:sz w:val="20"/>
        </w:rPr>
        <w:t xml:space="preserve">.  The Commission Staff (CS) expressed that they did not want PG&amp;E to eliminate measures or categories solely due to the cost issue recognizing the market barriers to LED fixture adoption still exist.  CS therefore directed PG&amp;E to work with the </w:t>
      </w:r>
      <w:r w:rsidRPr="000E21E0">
        <w:rPr>
          <w:rFonts w:ascii="Arial" w:hAnsi="Arial" w:cs="Arial"/>
          <w:sz w:val="20"/>
        </w:rPr>
        <w:t>Ex Ante Review (</w:t>
      </w:r>
      <w:r w:rsidR="003863C4" w:rsidRPr="000E21E0">
        <w:rPr>
          <w:rFonts w:ascii="Arial" w:hAnsi="Arial" w:cs="Arial"/>
          <w:sz w:val="20"/>
        </w:rPr>
        <w:t>EAR</w:t>
      </w:r>
      <w:r w:rsidRPr="000E21E0">
        <w:rPr>
          <w:rFonts w:ascii="Arial" w:hAnsi="Arial" w:cs="Arial"/>
          <w:sz w:val="20"/>
        </w:rPr>
        <w:t>)</w:t>
      </w:r>
      <w:r w:rsidR="003863C4" w:rsidRPr="000E21E0">
        <w:rPr>
          <w:rFonts w:ascii="Arial" w:hAnsi="Arial" w:cs="Arial"/>
          <w:sz w:val="20"/>
        </w:rPr>
        <w:t xml:space="preserve"> team to resolve these issues. Multiple meetings were then conducted between the EAR team and PG&amp;E from March to April to try to resolve the negative IMC issue. In late April, the EAR team accepted PG&amp;E’s proposal of setting IMC at 110% of the rebate values as an interim solution to the issue. On May 7, 2018, Commission staff issued the disposition for PGECOLTG178 approving the interim solution until 12/31/2018, with direction for PG&amp;E to continue with cost research for inclusion in the next revision to the workpaper. On 10/11/2018 CPUC issued Resolution E-4952 extended the interim solution savings through 2019, but not the measure costs.  PG&amp;E’s recent research conducted through TRC in September/October</w:t>
      </w:r>
      <w:r w:rsidR="0024210B">
        <w:rPr>
          <w:rFonts w:ascii="Arial" w:hAnsi="Arial" w:cs="Arial"/>
          <w:sz w:val="20"/>
        </w:rPr>
        <w:t xml:space="preserve"> 2018</w:t>
      </w:r>
      <w:r w:rsidR="003863C4" w:rsidRPr="000E21E0">
        <w:rPr>
          <w:rFonts w:ascii="Arial" w:hAnsi="Arial" w:cs="Arial"/>
          <w:sz w:val="20"/>
        </w:rPr>
        <w:t xml:space="preserve"> showed the same negative IMC issue between LED fixtures of varying efficacies.</w:t>
      </w:r>
    </w:p>
    <w:p w14:paraId="46A3658B" w14:textId="77777777" w:rsidR="00E97EDE" w:rsidRDefault="00E97EDE" w:rsidP="00E97EDE">
      <w:pPr>
        <w:pStyle w:val="ListParagraph"/>
        <w:spacing w:before="120"/>
        <w:ind w:left="0"/>
        <w:rPr>
          <w:rFonts w:ascii="Arial" w:hAnsi="Arial" w:cs="Arial"/>
          <w:sz w:val="20"/>
        </w:rPr>
      </w:pPr>
    </w:p>
    <w:p w14:paraId="60A2E087" w14:textId="64848393" w:rsidR="003863C4" w:rsidRPr="00E40631" w:rsidRDefault="00F009CD" w:rsidP="00E97EDE">
      <w:pPr>
        <w:pStyle w:val="ListParagraph"/>
        <w:spacing w:before="120" w:line="264" w:lineRule="auto"/>
        <w:ind w:left="0"/>
        <w:rPr>
          <w:rFonts w:ascii="Arial" w:hAnsi="Arial" w:cs="Arial"/>
          <w:sz w:val="20"/>
        </w:rPr>
      </w:pPr>
      <w:r w:rsidRPr="00E40631">
        <w:rPr>
          <w:rFonts w:ascii="Arial" w:hAnsi="Arial" w:cs="Arial"/>
          <w:sz w:val="20"/>
        </w:rPr>
        <w:t>P</w:t>
      </w:r>
      <w:r w:rsidR="003863C4" w:rsidRPr="00E40631">
        <w:rPr>
          <w:rFonts w:ascii="Arial" w:hAnsi="Arial" w:cs="Arial"/>
          <w:sz w:val="20"/>
        </w:rPr>
        <w:t xml:space="preserve">reviously completed </w:t>
      </w:r>
      <w:r w:rsidRPr="00E40631">
        <w:rPr>
          <w:rFonts w:ascii="Arial" w:hAnsi="Arial" w:cs="Arial"/>
          <w:sz w:val="20"/>
        </w:rPr>
        <w:t xml:space="preserve">and in-progress CA market studies, including Navigant’s LED Non-Residential Lighting Market Characterization and California LED Pricing Analysis discussed in Section 1.5, demonstrate </w:t>
      </w:r>
      <w:r w:rsidR="003863C4" w:rsidRPr="00E40631">
        <w:rPr>
          <w:rFonts w:ascii="Arial" w:hAnsi="Arial" w:cs="Arial"/>
          <w:sz w:val="20"/>
        </w:rPr>
        <w:t xml:space="preserve">that customers are facing multiple scenarios when choosing to upgrade their lighting. Customers who intend to upgrade their existing </w:t>
      </w:r>
      <w:r w:rsidR="00595424" w:rsidRPr="00E40631">
        <w:rPr>
          <w:rFonts w:ascii="Arial" w:hAnsi="Arial" w:cs="Arial"/>
          <w:sz w:val="20"/>
        </w:rPr>
        <w:t xml:space="preserve">high and low bay </w:t>
      </w:r>
      <w:r w:rsidR="003863C4" w:rsidRPr="00E40631">
        <w:rPr>
          <w:rFonts w:ascii="Arial" w:hAnsi="Arial" w:cs="Arial"/>
          <w:sz w:val="20"/>
        </w:rPr>
        <w:t xml:space="preserve">lighting from non-LED technologies to LED technology are faced with the following two scenarios: a full LED luminaire fixture/retrofit kit replacement or upgrading to tubular LED lamps (TLED). Cost-sensitive customers may choose the less expensive TLED option over the full fixture upgrade to achieve similar levels of service and energy savings.  Evidence from SCE &amp; PG&amp;E participation data, NEMA (National Electrical Manufacturers </w:t>
      </w:r>
      <w:r w:rsidR="003863C4" w:rsidRPr="00E40631">
        <w:rPr>
          <w:rFonts w:ascii="Arial" w:hAnsi="Arial" w:cs="Arial"/>
          <w:sz w:val="20"/>
        </w:rPr>
        <w:lastRenderedPageBreak/>
        <w:t>Association) national sales data</w:t>
      </w:r>
      <w:r w:rsidR="003863C4" w:rsidRPr="00E40631">
        <w:rPr>
          <w:rStyle w:val="EndnoteReference"/>
          <w:rFonts w:ascii="Arial" w:hAnsi="Arial" w:cs="Arial"/>
          <w:sz w:val="20"/>
        </w:rPr>
        <w:endnoteReference w:id="2"/>
      </w:r>
      <w:r w:rsidR="003863C4" w:rsidRPr="00E40631">
        <w:rPr>
          <w:rFonts w:ascii="Arial" w:hAnsi="Arial" w:cs="Arial"/>
          <w:sz w:val="20"/>
        </w:rPr>
        <w:t>, input from local distribution channels, and the California LED Pricing Analysis Study</w:t>
      </w:r>
      <w:r w:rsidR="003863C4" w:rsidRPr="00E40631">
        <w:rPr>
          <w:rStyle w:val="EndnoteReference"/>
          <w:rFonts w:ascii="Arial" w:hAnsi="Arial" w:cs="Arial"/>
          <w:sz w:val="20"/>
        </w:rPr>
        <w:endnoteReference w:id="3"/>
      </w:r>
      <w:r w:rsidR="003863C4" w:rsidRPr="00E40631">
        <w:rPr>
          <w:rFonts w:ascii="Arial" w:hAnsi="Arial" w:cs="Arial"/>
          <w:sz w:val="20"/>
        </w:rPr>
        <w:t xml:space="preserve"> by Navigant all have suggested that TLEDs are a viable retrofit alternative to full fixture replacements. PG&amp;E has thus incorporated TLEDs in the baseline mix for </w:t>
      </w:r>
      <w:r w:rsidR="0024210B">
        <w:rPr>
          <w:rFonts w:ascii="Arial" w:hAnsi="Arial" w:cs="Arial"/>
          <w:sz w:val="20"/>
        </w:rPr>
        <w:t>the high and low bay</w:t>
      </w:r>
      <w:r w:rsidR="003863C4" w:rsidRPr="00E40631">
        <w:rPr>
          <w:rFonts w:ascii="Arial" w:hAnsi="Arial" w:cs="Arial"/>
          <w:sz w:val="20"/>
        </w:rPr>
        <w:t xml:space="preserve"> lighting in this workpaper revision.</w:t>
      </w:r>
    </w:p>
    <w:p w14:paraId="7C91827A" w14:textId="75476C6A" w:rsidR="00F009CD" w:rsidRPr="00E40631" w:rsidRDefault="00F009CD" w:rsidP="00E97EDE">
      <w:pPr>
        <w:pStyle w:val="ListParagraph"/>
        <w:spacing w:line="264" w:lineRule="auto"/>
        <w:ind w:left="0"/>
        <w:rPr>
          <w:rFonts w:ascii="Arial" w:hAnsi="Arial" w:cs="Arial"/>
          <w:sz w:val="20"/>
        </w:rPr>
      </w:pPr>
    </w:p>
    <w:p w14:paraId="50172681" w14:textId="65BCA97D" w:rsidR="00F009CD" w:rsidRDefault="00F009CD" w:rsidP="00E97EDE">
      <w:pPr>
        <w:pStyle w:val="ListParagraph"/>
        <w:spacing w:line="264" w:lineRule="auto"/>
        <w:ind w:left="0"/>
        <w:rPr>
          <w:rFonts w:ascii="Arial" w:hAnsi="Arial" w:cs="Arial"/>
          <w:sz w:val="20"/>
        </w:rPr>
      </w:pPr>
      <w:r w:rsidRPr="00E40631">
        <w:rPr>
          <w:rFonts w:ascii="Arial" w:hAnsi="Arial" w:cs="Arial"/>
          <w:sz w:val="20"/>
        </w:rPr>
        <w:t xml:space="preserve">In addition, Revision 4 </w:t>
      </w:r>
      <w:r w:rsidR="00E40631">
        <w:rPr>
          <w:rFonts w:ascii="Arial" w:hAnsi="Arial" w:cs="Arial"/>
          <w:sz w:val="20"/>
        </w:rPr>
        <w:t xml:space="preserve">of </w:t>
      </w:r>
      <w:r w:rsidRPr="00E40631">
        <w:rPr>
          <w:rFonts w:ascii="Arial" w:hAnsi="Arial" w:cs="Arial"/>
          <w:sz w:val="20"/>
        </w:rPr>
        <w:t>this workpaper transitions the measure structure from wattage bins to lumen bins, with the intention to focus consumer purchasing choices on desired or equivalent levels of service.</w:t>
      </w:r>
    </w:p>
    <w:p w14:paraId="19627D14" w14:textId="77777777" w:rsidR="00E97EDE" w:rsidRDefault="00E97EDE" w:rsidP="00E97EDE">
      <w:pPr>
        <w:pStyle w:val="ListParagraph"/>
        <w:spacing w:line="264" w:lineRule="auto"/>
        <w:ind w:left="0"/>
        <w:rPr>
          <w:rFonts w:ascii="Arial" w:hAnsi="Arial" w:cs="Arial"/>
          <w:sz w:val="20"/>
        </w:rPr>
      </w:pPr>
    </w:p>
    <w:p w14:paraId="67B2A8E8" w14:textId="5517395F" w:rsidR="00E97EDE" w:rsidRPr="00E40631" w:rsidRDefault="00E97EDE" w:rsidP="00E97EDE">
      <w:pPr>
        <w:pStyle w:val="ListParagraph"/>
        <w:spacing w:line="264" w:lineRule="auto"/>
        <w:ind w:left="0"/>
        <w:rPr>
          <w:rFonts w:ascii="Arial" w:hAnsi="Arial" w:cs="Arial"/>
          <w:sz w:val="20"/>
        </w:rPr>
      </w:pPr>
      <w:r w:rsidRPr="00E97EDE">
        <w:rPr>
          <w:rFonts w:ascii="Arial" w:hAnsi="Arial" w:cs="Arial"/>
          <w:sz w:val="20"/>
        </w:rPr>
        <w:t>PG&amp;E has provided TLED cost and efficacy data collected in 2018 for th</w:t>
      </w:r>
      <w:r w:rsidR="00732C21">
        <w:rPr>
          <w:rFonts w:ascii="Arial" w:hAnsi="Arial" w:cs="Arial"/>
          <w:sz w:val="20"/>
        </w:rPr>
        <w:t>e</w:t>
      </w:r>
      <w:r w:rsidRPr="00E97EDE">
        <w:rPr>
          <w:rFonts w:ascii="Arial" w:hAnsi="Arial" w:cs="Arial"/>
          <w:sz w:val="20"/>
        </w:rPr>
        <w:t xml:space="preserve"> initial R</w:t>
      </w:r>
      <w:r>
        <w:rPr>
          <w:rFonts w:ascii="Arial" w:hAnsi="Arial" w:cs="Arial"/>
          <w:sz w:val="20"/>
        </w:rPr>
        <w:t>4</w:t>
      </w:r>
      <w:r w:rsidRPr="00E97EDE">
        <w:rPr>
          <w:rFonts w:ascii="Arial" w:hAnsi="Arial" w:cs="Arial"/>
          <w:sz w:val="20"/>
        </w:rPr>
        <w:t xml:space="preserve"> workpaper update. Subsequently PG&amp;E conducted additional online web</w:t>
      </w:r>
      <w:r w:rsidR="00DA6E11">
        <w:rPr>
          <w:rFonts w:ascii="Arial" w:hAnsi="Arial" w:cs="Arial"/>
          <w:sz w:val="20"/>
        </w:rPr>
        <w:t>-</w:t>
      </w:r>
      <w:r w:rsidRPr="00E97EDE">
        <w:rPr>
          <w:rFonts w:ascii="Arial" w:hAnsi="Arial" w:cs="Arial"/>
          <w:sz w:val="20"/>
        </w:rPr>
        <w:t xml:space="preserve">scraping on TLED </w:t>
      </w:r>
      <w:proofErr w:type="spellStart"/>
      <w:r w:rsidRPr="00E97EDE">
        <w:rPr>
          <w:rFonts w:ascii="Arial" w:hAnsi="Arial" w:cs="Arial"/>
          <w:sz w:val="20"/>
        </w:rPr>
        <w:t>cos</w:t>
      </w:r>
      <w:r w:rsidR="00732C21">
        <w:rPr>
          <w:rFonts w:ascii="Arial" w:hAnsi="Arial" w:cs="Arial"/>
          <w:sz w:val="20"/>
        </w:rPr>
        <w:t>s</w:t>
      </w:r>
      <w:r w:rsidRPr="00E97EDE">
        <w:rPr>
          <w:rFonts w:ascii="Arial" w:hAnsi="Arial" w:cs="Arial"/>
          <w:sz w:val="20"/>
        </w:rPr>
        <w:t>t</w:t>
      </w:r>
      <w:proofErr w:type="spellEnd"/>
      <w:r w:rsidRPr="00E97EDE">
        <w:rPr>
          <w:rFonts w:ascii="Arial" w:hAnsi="Arial" w:cs="Arial"/>
          <w:sz w:val="20"/>
        </w:rPr>
        <w:t xml:space="preserve"> and efficacy in February 2019 per </w:t>
      </w:r>
      <w:r w:rsidR="00732C21">
        <w:rPr>
          <w:rFonts w:ascii="Arial" w:hAnsi="Arial" w:cs="Arial"/>
          <w:sz w:val="20"/>
        </w:rPr>
        <w:t xml:space="preserve">the </w:t>
      </w:r>
      <w:r w:rsidRPr="00E97EDE">
        <w:rPr>
          <w:rFonts w:ascii="Arial" w:hAnsi="Arial" w:cs="Arial"/>
          <w:sz w:val="20"/>
        </w:rPr>
        <w:t xml:space="preserve">CPUC </w:t>
      </w:r>
      <w:r w:rsidR="00732C21">
        <w:rPr>
          <w:rFonts w:ascii="Arial" w:hAnsi="Arial" w:cs="Arial"/>
          <w:sz w:val="20"/>
        </w:rPr>
        <w:t>E</w:t>
      </w:r>
      <w:r w:rsidRPr="00E97EDE">
        <w:rPr>
          <w:rFonts w:ascii="Arial" w:hAnsi="Arial" w:cs="Arial"/>
          <w:sz w:val="20"/>
        </w:rPr>
        <w:t>-</w:t>
      </w:r>
      <w:r w:rsidR="00732C21">
        <w:rPr>
          <w:rFonts w:ascii="Arial" w:hAnsi="Arial" w:cs="Arial"/>
          <w:sz w:val="20"/>
        </w:rPr>
        <w:t>A</w:t>
      </w:r>
      <w:r w:rsidRPr="00E97EDE">
        <w:rPr>
          <w:rFonts w:ascii="Arial" w:hAnsi="Arial" w:cs="Arial"/>
          <w:sz w:val="20"/>
        </w:rPr>
        <w:t>nte</w:t>
      </w:r>
      <w:r w:rsidR="00732C21">
        <w:rPr>
          <w:rFonts w:ascii="Arial" w:hAnsi="Arial" w:cs="Arial"/>
          <w:sz w:val="20"/>
        </w:rPr>
        <w:t xml:space="preserve"> Review (EAR)</w:t>
      </w:r>
      <w:r w:rsidRPr="00E97EDE">
        <w:rPr>
          <w:rFonts w:ascii="Arial" w:hAnsi="Arial" w:cs="Arial"/>
          <w:sz w:val="20"/>
        </w:rPr>
        <w:t xml:space="preserve"> team’s recommendation. Based on the new data the average TLED cost and efficacy level were revised accordingly. </w:t>
      </w:r>
      <w:r w:rsidR="00DA6E11">
        <w:rPr>
          <w:rFonts w:ascii="Arial" w:hAnsi="Arial" w:cs="Arial"/>
          <w:sz w:val="20"/>
        </w:rPr>
        <w:t xml:space="preserve"> Please see attached file “</w:t>
      </w:r>
      <w:r w:rsidR="00DA6E11" w:rsidRPr="00DA6E11">
        <w:rPr>
          <w:rFonts w:ascii="Arial" w:hAnsi="Arial" w:cs="Arial"/>
          <w:sz w:val="20"/>
        </w:rPr>
        <w:t>Copy of TLED Cost Data_FEB2019</w:t>
      </w:r>
      <w:r w:rsidR="00DA6E11">
        <w:rPr>
          <w:rFonts w:ascii="Arial" w:hAnsi="Arial" w:cs="Arial"/>
          <w:sz w:val="20"/>
        </w:rPr>
        <w:t>.xlsx” for the collected data and revised calculation of the TLED cost and efficacy</w:t>
      </w:r>
      <w:r w:rsidRPr="00E97EDE">
        <w:rPr>
          <w:rFonts w:ascii="Arial" w:hAnsi="Arial" w:cs="Arial"/>
          <w:sz w:val="20"/>
        </w:rPr>
        <w:t>.</w:t>
      </w:r>
    </w:p>
    <w:p w14:paraId="691968ED" w14:textId="77777777" w:rsidR="00E40631" w:rsidRPr="00E40631" w:rsidRDefault="00E40631">
      <w:pPr>
        <w:rPr>
          <w:rFonts w:ascii="Arial" w:hAnsi="Arial" w:cs="Arial"/>
          <w:b/>
          <w:bCs/>
          <w:iCs/>
        </w:rPr>
      </w:pPr>
      <w:bookmarkStart w:id="20" w:name="_Hlk510120442"/>
    </w:p>
    <w:p w14:paraId="14EC4051" w14:textId="0EDB3800" w:rsidR="0037707D" w:rsidRPr="00E40631" w:rsidRDefault="00521920">
      <w:pPr>
        <w:rPr>
          <w:rFonts w:ascii="Arial" w:hAnsi="Arial" w:cs="Arial"/>
          <w:b/>
          <w:bCs/>
          <w:i/>
          <w:iCs/>
        </w:rPr>
      </w:pPr>
      <w:r w:rsidRPr="007B68E7">
        <w:rPr>
          <w:rFonts w:ascii="Arial" w:hAnsi="Arial" w:cs="Arial"/>
          <w:b/>
          <w:bCs/>
          <w:i/>
          <w:iCs/>
        </w:rPr>
        <w:t>Catalog Description</w:t>
      </w:r>
      <w:r w:rsidR="00476B67" w:rsidRPr="007B68E7">
        <w:rPr>
          <w:rFonts w:ascii="Arial" w:hAnsi="Arial" w:cs="Arial"/>
          <w:b/>
          <w:bCs/>
          <w:i/>
          <w:iCs/>
        </w:rPr>
        <w:t xml:space="preserve"> </w:t>
      </w:r>
    </w:p>
    <w:p w14:paraId="4852C0FB" w14:textId="76EEC7C1" w:rsidR="007B2DD3" w:rsidRPr="00E35C1C" w:rsidRDefault="00306E82" w:rsidP="00127B4E">
      <w:pPr>
        <w:widowControl w:val="0"/>
        <w:autoSpaceDE w:val="0"/>
        <w:autoSpaceDN w:val="0"/>
        <w:adjustRightInd w:val="0"/>
        <w:spacing w:before="80"/>
        <w:rPr>
          <w:rFonts w:ascii="Arial" w:hAnsi="Arial"/>
          <w:color w:val="000000"/>
        </w:rPr>
      </w:pPr>
      <w:r w:rsidRPr="00E35C1C">
        <w:rPr>
          <w:rFonts w:ascii="Arial" w:hAnsi="Arial"/>
          <w:color w:val="000000"/>
          <w:sz w:val="20"/>
        </w:rPr>
        <w:t>Interior LED High-Bay and Low-Bay Lighting</w:t>
      </w:r>
    </w:p>
    <w:p w14:paraId="0392048A" w14:textId="77777777" w:rsidR="00127B4E" w:rsidRDefault="00127B4E" w:rsidP="005B5BB4">
      <w:pPr>
        <w:widowControl w:val="0"/>
        <w:autoSpaceDE w:val="0"/>
        <w:autoSpaceDN w:val="0"/>
        <w:adjustRightInd w:val="0"/>
        <w:spacing w:line="360" w:lineRule="auto"/>
        <w:rPr>
          <w:rFonts w:ascii="Arial" w:hAnsi="Arial"/>
          <w:b/>
          <w:color w:val="000000"/>
        </w:rPr>
      </w:pPr>
    </w:p>
    <w:p w14:paraId="64CC398E" w14:textId="1EB93F81" w:rsidR="005B5BB4" w:rsidRPr="00E35C1C" w:rsidRDefault="005B5BB4" w:rsidP="005B5BB4">
      <w:pPr>
        <w:widowControl w:val="0"/>
        <w:autoSpaceDE w:val="0"/>
        <w:autoSpaceDN w:val="0"/>
        <w:adjustRightInd w:val="0"/>
        <w:spacing w:line="360" w:lineRule="auto"/>
        <w:rPr>
          <w:rFonts w:ascii="Arial" w:hAnsi="Arial"/>
          <w:b/>
          <w:color w:val="000000"/>
        </w:rPr>
      </w:pPr>
      <w:r w:rsidRPr="00E35C1C">
        <w:rPr>
          <w:rFonts w:ascii="Arial" w:hAnsi="Arial"/>
          <w:b/>
          <w:color w:val="000000"/>
        </w:rPr>
        <w:t>Requirements:</w:t>
      </w:r>
    </w:p>
    <w:p w14:paraId="0EBF1C3B" w14:textId="75A2A090" w:rsidR="00306E82" w:rsidRPr="00E0642C" w:rsidRDefault="00306E82" w:rsidP="00E97EDE">
      <w:pPr>
        <w:spacing w:line="264" w:lineRule="auto"/>
        <w:rPr>
          <w:rFonts w:ascii="Arial" w:hAnsi="Arial" w:cs="Arial"/>
          <w:sz w:val="20"/>
          <w:szCs w:val="20"/>
        </w:rPr>
      </w:pPr>
      <w:r w:rsidRPr="00E0642C">
        <w:rPr>
          <w:rFonts w:ascii="Arial" w:hAnsi="Arial" w:cs="Arial"/>
          <w:sz w:val="20"/>
          <w:szCs w:val="20"/>
        </w:rPr>
        <w:t xml:space="preserve">The LED fixture or retrofit kit must be listed in the </w:t>
      </w:r>
      <w:r w:rsidR="00FF4B24">
        <w:rPr>
          <w:rFonts w:ascii="Arial" w:hAnsi="Arial" w:cs="Arial"/>
          <w:sz w:val="20"/>
          <w:szCs w:val="20"/>
        </w:rPr>
        <w:t>current</w:t>
      </w:r>
      <w:r w:rsidR="00FF4B24" w:rsidRPr="00E0642C">
        <w:rPr>
          <w:rFonts w:ascii="Arial" w:hAnsi="Arial" w:cs="Arial"/>
          <w:sz w:val="20"/>
          <w:szCs w:val="20"/>
        </w:rPr>
        <w:t xml:space="preserve"> </w:t>
      </w:r>
      <w:proofErr w:type="spellStart"/>
      <w:r w:rsidR="00FF4B24" w:rsidRPr="00E0642C">
        <w:rPr>
          <w:rFonts w:ascii="Arial" w:hAnsi="Arial" w:cs="Arial"/>
          <w:sz w:val="20"/>
          <w:szCs w:val="20"/>
        </w:rPr>
        <w:t>DesignLights</w:t>
      </w:r>
      <w:proofErr w:type="spellEnd"/>
      <w:r w:rsidR="00FF4B24" w:rsidRPr="00E0642C">
        <w:rPr>
          <w:rFonts w:ascii="Arial" w:hAnsi="Arial" w:cs="Arial"/>
          <w:sz w:val="20"/>
          <w:szCs w:val="20"/>
        </w:rPr>
        <w:t xml:space="preserve"> Consortium</w:t>
      </w:r>
      <w:r w:rsidR="00FF4B24">
        <w:rPr>
          <w:rFonts w:ascii="Arial" w:hAnsi="Arial" w:cs="Arial"/>
          <w:sz w:val="20"/>
          <w:szCs w:val="20"/>
        </w:rPr>
        <w:t>’s</w:t>
      </w:r>
      <w:r w:rsidR="00FF4B24" w:rsidRPr="00E0642C">
        <w:rPr>
          <w:rFonts w:ascii="Arial" w:hAnsi="Arial" w:cs="Arial"/>
          <w:sz w:val="20"/>
          <w:szCs w:val="20"/>
        </w:rPr>
        <w:t xml:space="preserve"> </w:t>
      </w:r>
      <w:r w:rsidR="00732C21">
        <w:rPr>
          <w:rFonts w:ascii="Arial" w:hAnsi="Arial" w:cs="Arial"/>
          <w:sz w:val="20"/>
          <w:szCs w:val="20"/>
        </w:rPr>
        <w:t xml:space="preserve">(DLC) </w:t>
      </w:r>
      <w:proofErr w:type="spellStart"/>
      <w:r w:rsidR="00732C21">
        <w:rPr>
          <w:rFonts w:ascii="Arial" w:hAnsi="Arial" w:cs="Arial"/>
          <w:sz w:val="20"/>
          <w:szCs w:val="20"/>
        </w:rPr>
        <w:t>T</w:t>
      </w:r>
      <w:r w:rsidRPr="00E0642C">
        <w:rPr>
          <w:rFonts w:ascii="Arial" w:hAnsi="Arial" w:cs="Arial"/>
          <w:sz w:val="20"/>
          <w:szCs w:val="20"/>
        </w:rPr>
        <w:t>echnical</w:t>
      </w:r>
      <w:r w:rsidR="00732C21">
        <w:rPr>
          <w:rFonts w:ascii="Arial" w:hAnsi="Arial" w:cs="Arial"/>
          <w:sz w:val="20"/>
          <w:szCs w:val="20"/>
        </w:rPr>
        <w:t>R</w:t>
      </w:r>
      <w:r w:rsidRPr="00E0642C">
        <w:rPr>
          <w:rFonts w:ascii="Arial" w:hAnsi="Arial" w:cs="Arial"/>
          <w:sz w:val="20"/>
          <w:szCs w:val="20"/>
        </w:rPr>
        <w:t>equirements</w:t>
      </w:r>
      <w:proofErr w:type="spellEnd"/>
      <w:r w:rsidRPr="00E0642C">
        <w:rPr>
          <w:rFonts w:ascii="Arial" w:hAnsi="Arial" w:cs="Arial"/>
          <w:sz w:val="20"/>
          <w:szCs w:val="20"/>
        </w:rPr>
        <w:t xml:space="preserve"> table</w:t>
      </w:r>
      <w:r w:rsidR="00121C67">
        <w:rPr>
          <w:rFonts w:ascii="Arial" w:hAnsi="Arial" w:cs="Arial"/>
          <w:sz w:val="20"/>
          <w:szCs w:val="20"/>
        </w:rPr>
        <w:t xml:space="preserve"> </w:t>
      </w:r>
      <w:r w:rsidRPr="00E0642C">
        <w:rPr>
          <w:rFonts w:ascii="Arial" w:hAnsi="Arial" w:cs="Arial"/>
          <w:sz w:val="20"/>
          <w:szCs w:val="20"/>
        </w:rPr>
        <w:t>under the General Category “High Bay” and under the Primary Use Designations as follow:</w:t>
      </w:r>
      <w:r w:rsidRPr="00E0642C">
        <w:rPr>
          <w:rStyle w:val="EndnoteReference"/>
          <w:rFonts w:ascii="Arial" w:hAnsi="Arial" w:cs="Arial"/>
          <w:b/>
          <w:i/>
          <w:sz w:val="20"/>
          <w:szCs w:val="20"/>
        </w:rPr>
        <w:t xml:space="preserve"> </w:t>
      </w:r>
      <w:r w:rsidRPr="00E0642C">
        <w:rPr>
          <w:rStyle w:val="EndnoteReference"/>
          <w:rFonts w:ascii="Arial" w:hAnsi="Arial" w:cs="Arial"/>
          <w:b/>
          <w:i/>
          <w:sz w:val="20"/>
          <w:szCs w:val="20"/>
        </w:rPr>
        <w:endnoteReference w:id="4"/>
      </w:r>
      <w:r w:rsidRPr="00E0642C">
        <w:rPr>
          <w:rFonts w:ascii="Arial" w:hAnsi="Arial" w:cs="Arial"/>
          <w:b/>
          <w:sz w:val="20"/>
          <w:szCs w:val="20"/>
        </w:rPr>
        <w:t xml:space="preserve"> </w:t>
      </w:r>
    </w:p>
    <w:p w14:paraId="54AABD81" w14:textId="77777777" w:rsidR="00306E82" w:rsidRPr="00E0642C" w:rsidRDefault="00306E82" w:rsidP="00E97EDE">
      <w:pPr>
        <w:pStyle w:val="ListParagraph"/>
        <w:numPr>
          <w:ilvl w:val="0"/>
          <w:numId w:val="6"/>
        </w:numPr>
        <w:spacing w:line="264" w:lineRule="auto"/>
        <w:rPr>
          <w:rFonts w:ascii="Arial" w:hAnsi="Arial" w:cs="Arial"/>
          <w:sz w:val="20"/>
          <w:szCs w:val="20"/>
        </w:rPr>
      </w:pPr>
      <w:r w:rsidRPr="00E0642C">
        <w:rPr>
          <w:rFonts w:ascii="Arial" w:hAnsi="Arial" w:cs="Arial"/>
          <w:sz w:val="20"/>
          <w:szCs w:val="20"/>
        </w:rPr>
        <w:t>High-Bay Aisle Luminaires</w:t>
      </w:r>
    </w:p>
    <w:p w14:paraId="3534CEF0" w14:textId="77777777" w:rsidR="00306E82" w:rsidRPr="00E0642C" w:rsidRDefault="00306E82" w:rsidP="00E97EDE">
      <w:pPr>
        <w:pStyle w:val="ListParagraph"/>
        <w:numPr>
          <w:ilvl w:val="0"/>
          <w:numId w:val="6"/>
        </w:numPr>
        <w:spacing w:line="264" w:lineRule="auto"/>
        <w:rPr>
          <w:rFonts w:ascii="Arial" w:hAnsi="Arial" w:cs="Arial"/>
          <w:sz w:val="20"/>
          <w:szCs w:val="20"/>
        </w:rPr>
      </w:pPr>
      <w:r w:rsidRPr="00E0642C">
        <w:rPr>
          <w:rFonts w:ascii="Arial" w:hAnsi="Arial" w:cs="Arial"/>
          <w:sz w:val="20"/>
          <w:szCs w:val="20"/>
        </w:rPr>
        <w:t>High-Bay Luminaires for Commercial and Industrial Buildings</w:t>
      </w:r>
    </w:p>
    <w:p w14:paraId="45F39532" w14:textId="77777777" w:rsidR="00306E82" w:rsidRPr="00E0642C" w:rsidRDefault="00306E82" w:rsidP="00E97EDE">
      <w:pPr>
        <w:pStyle w:val="ListParagraph"/>
        <w:numPr>
          <w:ilvl w:val="0"/>
          <w:numId w:val="6"/>
        </w:numPr>
        <w:spacing w:line="264" w:lineRule="auto"/>
        <w:rPr>
          <w:rFonts w:ascii="Arial" w:hAnsi="Arial" w:cs="Arial"/>
          <w:sz w:val="20"/>
          <w:szCs w:val="20"/>
        </w:rPr>
      </w:pPr>
      <w:r w:rsidRPr="00E0642C">
        <w:rPr>
          <w:rFonts w:ascii="Arial" w:hAnsi="Arial" w:cs="Arial"/>
          <w:sz w:val="20"/>
          <w:szCs w:val="20"/>
        </w:rPr>
        <w:t>Low-Bay Luminaires for Commercial and Industrial Buildings</w:t>
      </w:r>
    </w:p>
    <w:p w14:paraId="2CAF67FF" w14:textId="77777777" w:rsidR="00306E82" w:rsidRDefault="00306E82" w:rsidP="00E97EDE">
      <w:pPr>
        <w:pStyle w:val="ListParagraph"/>
        <w:numPr>
          <w:ilvl w:val="0"/>
          <w:numId w:val="6"/>
        </w:numPr>
        <w:spacing w:line="264" w:lineRule="auto"/>
        <w:rPr>
          <w:rFonts w:ascii="Arial" w:hAnsi="Arial" w:cs="Arial"/>
          <w:sz w:val="20"/>
          <w:szCs w:val="20"/>
        </w:rPr>
      </w:pPr>
      <w:r w:rsidRPr="00E0642C">
        <w:rPr>
          <w:rFonts w:ascii="Arial" w:hAnsi="Arial" w:cs="Arial"/>
          <w:sz w:val="20"/>
          <w:szCs w:val="20"/>
        </w:rPr>
        <w:t>Retrofit Kits for High-Bay Luminaires for Commercial and Industrial Buildings</w:t>
      </w:r>
    </w:p>
    <w:p w14:paraId="65AF4309" w14:textId="05858FC0" w:rsidR="00306E82" w:rsidRDefault="00306E82" w:rsidP="00E97EDE">
      <w:pPr>
        <w:pStyle w:val="ListParagraph"/>
        <w:numPr>
          <w:ilvl w:val="0"/>
          <w:numId w:val="6"/>
        </w:numPr>
        <w:spacing w:line="264" w:lineRule="auto"/>
        <w:rPr>
          <w:rFonts w:ascii="Arial" w:hAnsi="Arial" w:cs="Arial"/>
          <w:sz w:val="20"/>
          <w:szCs w:val="20"/>
        </w:rPr>
      </w:pPr>
      <w:r w:rsidRPr="00CE46C7">
        <w:rPr>
          <w:rFonts w:ascii="Arial" w:hAnsi="Arial" w:cs="Arial"/>
          <w:sz w:val="20"/>
          <w:szCs w:val="20"/>
        </w:rPr>
        <w:t>Retrofit Kits for Low-Bay Luminaires for Commercial and Industrial Buildings</w:t>
      </w:r>
    </w:p>
    <w:p w14:paraId="521D217B" w14:textId="77777777" w:rsidR="00595424" w:rsidRPr="00CE46C7" w:rsidRDefault="00595424" w:rsidP="00DA6E11">
      <w:pPr>
        <w:pStyle w:val="ListParagraph"/>
        <w:rPr>
          <w:rFonts w:ascii="Arial" w:hAnsi="Arial" w:cs="Arial"/>
          <w:sz w:val="20"/>
          <w:szCs w:val="20"/>
        </w:rPr>
      </w:pPr>
    </w:p>
    <w:p w14:paraId="2435FB6F" w14:textId="77777777" w:rsidR="00306E82" w:rsidRPr="00E351DE" w:rsidRDefault="00306E82" w:rsidP="00306E82">
      <w:pPr>
        <w:widowControl w:val="0"/>
        <w:numPr>
          <w:ilvl w:val="0"/>
          <w:numId w:val="1"/>
        </w:numPr>
        <w:autoSpaceDE w:val="0"/>
        <w:autoSpaceDN w:val="0"/>
        <w:adjustRightInd w:val="0"/>
        <w:spacing w:line="360" w:lineRule="auto"/>
        <w:rPr>
          <w:rFonts w:ascii="Arial" w:hAnsi="Arial" w:cs="Arial"/>
          <w:color w:val="000000"/>
          <w:sz w:val="20"/>
        </w:rPr>
      </w:pPr>
      <w:r w:rsidRPr="00E35C1C">
        <w:rPr>
          <w:rFonts w:ascii="Arial" w:hAnsi="Arial"/>
          <w:color w:val="000000"/>
          <w:sz w:val="20"/>
        </w:rPr>
        <w:t>Must replace a lumen equivalent lamp/fixture of higher wattage. (Please refer to Table 1)</w:t>
      </w:r>
    </w:p>
    <w:p w14:paraId="45FB8B9E" w14:textId="20898320" w:rsidR="00306E82" w:rsidRPr="00306E82" w:rsidRDefault="00306E82" w:rsidP="00306E82">
      <w:pPr>
        <w:widowControl w:val="0"/>
        <w:numPr>
          <w:ilvl w:val="0"/>
          <w:numId w:val="1"/>
        </w:numPr>
        <w:autoSpaceDE w:val="0"/>
        <w:autoSpaceDN w:val="0"/>
        <w:adjustRightInd w:val="0"/>
        <w:spacing w:line="360" w:lineRule="auto"/>
        <w:rPr>
          <w:rFonts w:ascii="Arial" w:hAnsi="Arial" w:cs="Arial"/>
          <w:color w:val="000000"/>
          <w:sz w:val="20"/>
        </w:rPr>
      </w:pPr>
      <w:r w:rsidRPr="00E351DE">
        <w:rPr>
          <w:rFonts w:ascii="Arial" w:hAnsi="Arial" w:cs="Arial"/>
          <w:color w:val="000000"/>
          <w:sz w:val="20"/>
        </w:rPr>
        <w:t xml:space="preserve">Must be on the </w:t>
      </w:r>
      <w:proofErr w:type="spellStart"/>
      <w:r w:rsidRPr="00E351DE">
        <w:rPr>
          <w:rFonts w:ascii="Arial" w:hAnsi="Arial" w:cs="Arial"/>
          <w:color w:val="000000"/>
          <w:sz w:val="20"/>
        </w:rPr>
        <w:t>DesignLights</w:t>
      </w:r>
      <w:proofErr w:type="spellEnd"/>
      <w:r w:rsidRPr="00E351DE">
        <w:rPr>
          <w:rFonts w:ascii="Arial" w:hAnsi="Arial" w:cs="Arial"/>
          <w:color w:val="000000"/>
          <w:sz w:val="20"/>
        </w:rPr>
        <w:t xml:space="preserve"> Consortium (DLC)</w:t>
      </w:r>
      <w:r w:rsidR="00732C21">
        <w:rPr>
          <w:rFonts w:ascii="Arial" w:hAnsi="Arial" w:cs="Arial"/>
          <w:color w:val="000000"/>
          <w:sz w:val="20"/>
        </w:rPr>
        <w:t xml:space="preserve"> Qualified</w:t>
      </w:r>
      <w:r w:rsidRPr="00E351DE">
        <w:rPr>
          <w:rFonts w:ascii="Arial" w:hAnsi="Arial" w:cs="Arial"/>
          <w:color w:val="000000"/>
          <w:sz w:val="20"/>
        </w:rPr>
        <w:t xml:space="preserve"> </w:t>
      </w:r>
      <w:r w:rsidR="00DA6E11">
        <w:rPr>
          <w:rFonts w:ascii="Arial" w:hAnsi="Arial" w:cs="Arial"/>
          <w:color w:val="000000"/>
          <w:sz w:val="20"/>
        </w:rPr>
        <w:t>P</w:t>
      </w:r>
      <w:r w:rsidRPr="00E351DE">
        <w:rPr>
          <w:rFonts w:ascii="Arial" w:hAnsi="Arial" w:cs="Arial"/>
          <w:color w:val="000000"/>
          <w:sz w:val="20"/>
        </w:rPr>
        <w:t xml:space="preserve">roduct </w:t>
      </w:r>
      <w:r w:rsidR="00DA6E11">
        <w:rPr>
          <w:rFonts w:ascii="Arial" w:hAnsi="Arial" w:cs="Arial"/>
          <w:color w:val="000000"/>
          <w:sz w:val="20"/>
        </w:rPr>
        <w:t>L</w:t>
      </w:r>
      <w:r w:rsidRPr="00E351DE">
        <w:rPr>
          <w:rFonts w:ascii="Arial" w:hAnsi="Arial" w:cs="Arial"/>
          <w:color w:val="000000"/>
          <w:sz w:val="20"/>
        </w:rPr>
        <w:t>ist</w:t>
      </w:r>
      <w:r w:rsidRPr="00E351DE">
        <w:rPr>
          <w:rStyle w:val="EndnoteReference"/>
          <w:rFonts w:ascii="Arial" w:hAnsi="Arial" w:cs="Arial"/>
          <w:color w:val="000000"/>
          <w:sz w:val="20"/>
        </w:rPr>
        <w:endnoteReference w:id="5"/>
      </w:r>
    </w:p>
    <w:p w14:paraId="39D7BB37" w14:textId="77777777" w:rsidR="00306E82" w:rsidRDefault="00306E82" w:rsidP="00306E82">
      <w:pPr>
        <w:widowControl w:val="0"/>
        <w:autoSpaceDE w:val="0"/>
        <w:autoSpaceDN w:val="0"/>
        <w:adjustRightInd w:val="0"/>
        <w:spacing w:line="360" w:lineRule="auto"/>
        <w:rPr>
          <w:rFonts w:ascii="Arial" w:hAnsi="Arial" w:cs="Arial"/>
          <w:sz w:val="20"/>
          <w:szCs w:val="20"/>
        </w:rPr>
      </w:pPr>
    </w:p>
    <w:p w14:paraId="52C83118" w14:textId="3ACB50A0" w:rsidR="00306E82" w:rsidRPr="00493401" w:rsidRDefault="00306E82" w:rsidP="00306E82">
      <w:pPr>
        <w:widowControl w:val="0"/>
        <w:autoSpaceDE w:val="0"/>
        <w:autoSpaceDN w:val="0"/>
        <w:adjustRightInd w:val="0"/>
        <w:spacing w:line="360" w:lineRule="auto"/>
        <w:rPr>
          <w:rFonts w:ascii="Arial" w:hAnsi="Arial" w:cs="Arial"/>
          <w:b/>
          <w:szCs w:val="20"/>
        </w:rPr>
      </w:pPr>
      <w:r>
        <w:rPr>
          <w:rFonts w:ascii="Arial" w:hAnsi="Arial" w:cs="Arial"/>
          <w:b/>
          <w:szCs w:val="20"/>
        </w:rPr>
        <w:t>Exclusions:</w:t>
      </w:r>
      <w:r w:rsidR="00794EF8">
        <w:rPr>
          <w:rFonts w:ascii="Arial" w:hAnsi="Arial" w:cs="Arial"/>
          <w:b/>
          <w:szCs w:val="20"/>
        </w:rPr>
        <w:t xml:space="preserve"> </w:t>
      </w:r>
    </w:p>
    <w:p w14:paraId="20D80ABA" w14:textId="20881C8B" w:rsidR="009A4AD6" w:rsidRPr="00E351DE" w:rsidRDefault="00CC3ABC" w:rsidP="006666F0">
      <w:pPr>
        <w:widowControl w:val="0"/>
        <w:numPr>
          <w:ilvl w:val="0"/>
          <w:numId w:val="1"/>
        </w:numPr>
        <w:autoSpaceDE w:val="0"/>
        <w:autoSpaceDN w:val="0"/>
        <w:adjustRightInd w:val="0"/>
        <w:spacing w:line="360" w:lineRule="auto"/>
        <w:rPr>
          <w:rFonts w:ascii="Arial" w:hAnsi="Arial" w:cs="Arial"/>
          <w:color w:val="000000"/>
          <w:sz w:val="20"/>
        </w:rPr>
      </w:pPr>
      <w:r w:rsidRPr="00E35C1C">
        <w:rPr>
          <w:rFonts w:ascii="Arial" w:hAnsi="Arial"/>
          <w:color w:val="000000"/>
          <w:sz w:val="20"/>
        </w:rPr>
        <w:t xml:space="preserve">Fixtures listed under specialty </w:t>
      </w:r>
      <w:r w:rsidR="00853DA0" w:rsidRPr="00E35C1C">
        <w:rPr>
          <w:rFonts w:ascii="Arial" w:hAnsi="Arial"/>
          <w:color w:val="000000"/>
          <w:sz w:val="20"/>
        </w:rPr>
        <w:t xml:space="preserve">primary uses </w:t>
      </w:r>
      <w:r w:rsidRPr="00E35C1C">
        <w:rPr>
          <w:rFonts w:ascii="Arial" w:hAnsi="Arial"/>
          <w:color w:val="000000"/>
          <w:sz w:val="20"/>
        </w:rPr>
        <w:t xml:space="preserve">on the DLC </w:t>
      </w:r>
      <w:r w:rsidR="00F351DA">
        <w:rPr>
          <w:rFonts w:ascii="Arial" w:hAnsi="Arial"/>
          <w:color w:val="000000"/>
          <w:sz w:val="20"/>
        </w:rPr>
        <w:t>QPL</w:t>
      </w:r>
      <w:r w:rsidR="009A4AD6" w:rsidRPr="00E35C1C">
        <w:rPr>
          <w:rFonts w:ascii="Arial" w:hAnsi="Arial"/>
          <w:color w:val="000000"/>
          <w:sz w:val="20"/>
        </w:rPr>
        <w:t xml:space="preserve"> do not qualify for the deemed </w:t>
      </w:r>
      <w:r w:rsidR="00F351DA">
        <w:rPr>
          <w:rFonts w:ascii="Arial" w:hAnsi="Arial"/>
          <w:color w:val="000000"/>
          <w:sz w:val="20"/>
        </w:rPr>
        <w:t>measures</w:t>
      </w:r>
      <w:r w:rsidR="009A4AD6" w:rsidRPr="00E35C1C">
        <w:rPr>
          <w:rFonts w:ascii="Arial" w:hAnsi="Arial"/>
          <w:color w:val="000000"/>
          <w:sz w:val="20"/>
        </w:rPr>
        <w:t>.</w:t>
      </w:r>
    </w:p>
    <w:p w14:paraId="0955686F" w14:textId="20BBC907" w:rsidR="0066185B" w:rsidRPr="0066185B" w:rsidRDefault="0066185B" w:rsidP="006666F0">
      <w:pPr>
        <w:widowControl w:val="0"/>
        <w:numPr>
          <w:ilvl w:val="0"/>
          <w:numId w:val="1"/>
        </w:numPr>
        <w:autoSpaceDE w:val="0"/>
        <w:autoSpaceDN w:val="0"/>
        <w:adjustRightInd w:val="0"/>
        <w:spacing w:line="360" w:lineRule="auto"/>
        <w:rPr>
          <w:rFonts w:ascii="Arial" w:hAnsi="Arial" w:cs="Arial"/>
          <w:color w:val="000000"/>
          <w:sz w:val="20"/>
        </w:rPr>
      </w:pPr>
      <w:r>
        <w:rPr>
          <w:rFonts w:ascii="Arial" w:hAnsi="Arial" w:cs="Arial"/>
          <w:sz w:val="20"/>
          <w:szCs w:val="20"/>
        </w:rPr>
        <w:t>Horticultural installations do not qualify</w:t>
      </w:r>
      <w:proofErr w:type="gramStart"/>
      <w:r w:rsidR="00F351DA">
        <w:rPr>
          <w:rFonts w:ascii="Arial" w:hAnsi="Arial" w:cs="Arial"/>
          <w:sz w:val="20"/>
          <w:szCs w:val="20"/>
        </w:rPr>
        <w:t>.</w:t>
      </w:r>
      <w:r>
        <w:rPr>
          <w:rFonts w:ascii="Arial" w:hAnsi="Arial" w:cs="Arial"/>
          <w:sz w:val="20"/>
          <w:szCs w:val="20"/>
        </w:rPr>
        <w:t>.</w:t>
      </w:r>
      <w:proofErr w:type="gramEnd"/>
    </w:p>
    <w:p w14:paraId="7B7CD19F" w14:textId="5F1BE4C9" w:rsidR="0066185B" w:rsidRPr="0066185B" w:rsidRDefault="0066185B" w:rsidP="006666F0">
      <w:pPr>
        <w:widowControl w:val="0"/>
        <w:numPr>
          <w:ilvl w:val="0"/>
          <w:numId w:val="1"/>
        </w:numPr>
        <w:autoSpaceDE w:val="0"/>
        <w:autoSpaceDN w:val="0"/>
        <w:adjustRightInd w:val="0"/>
        <w:spacing w:line="360" w:lineRule="auto"/>
        <w:rPr>
          <w:rFonts w:ascii="Arial" w:hAnsi="Arial" w:cs="Arial"/>
          <w:color w:val="000000"/>
          <w:sz w:val="20"/>
        </w:rPr>
      </w:pPr>
      <w:r>
        <w:rPr>
          <w:rFonts w:ascii="Arial" w:hAnsi="Arial" w:cs="Arial"/>
          <w:sz w:val="20"/>
          <w:szCs w:val="20"/>
        </w:rPr>
        <w:t>Exterior installations do not qualify</w:t>
      </w:r>
      <w:proofErr w:type="gramStart"/>
      <w:r w:rsidR="00F351DA">
        <w:rPr>
          <w:rFonts w:ascii="Arial" w:hAnsi="Arial" w:cs="Arial"/>
          <w:sz w:val="20"/>
          <w:szCs w:val="20"/>
        </w:rPr>
        <w:t>.</w:t>
      </w:r>
      <w:r>
        <w:rPr>
          <w:rFonts w:ascii="Arial" w:hAnsi="Arial" w:cs="Arial"/>
          <w:sz w:val="20"/>
          <w:szCs w:val="20"/>
        </w:rPr>
        <w:t>.</w:t>
      </w:r>
      <w:proofErr w:type="gramEnd"/>
    </w:p>
    <w:p w14:paraId="5F6C6CF2" w14:textId="1EEBF0A6" w:rsidR="0037707D" w:rsidRPr="00E351DE" w:rsidRDefault="00E36423" w:rsidP="006666F0">
      <w:pPr>
        <w:widowControl w:val="0"/>
        <w:numPr>
          <w:ilvl w:val="0"/>
          <w:numId w:val="1"/>
        </w:numPr>
        <w:autoSpaceDE w:val="0"/>
        <w:autoSpaceDN w:val="0"/>
        <w:adjustRightInd w:val="0"/>
        <w:spacing w:line="360" w:lineRule="auto"/>
        <w:rPr>
          <w:rFonts w:ascii="Arial" w:hAnsi="Arial" w:cs="Arial"/>
          <w:color w:val="000000"/>
          <w:sz w:val="20"/>
        </w:rPr>
      </w:pPr>
      <w:r>
        <w:rPr>
          <w:rFonts w:ascii="Arial" w:hAnsi="Arial" w:cs="Arial"/>
          <w:sz w:val="20"/>
          <w:szCs w:val="20"/>
        </w:rPr>
        <w:t>S</w:t>
      </w:r>
      <w:r w:rsidR="0044620E" w:rsidRPr="00E351DE">
        <w:rPr>
          <w:rFonts w:ascii="Arial" w:hAnsi="Arial" w:cs="Arial"/>
          <w:sz w:val="20"/>
          <w:szCs w:val="20"/>
        </w:rPr>
        <w:t>crew-based lamps do not qualify.</w:t>
      </w:r>
      <w:r w:rsidR="00D12AFE" w:rsidRPr="00E35C1C">
        <w:rPr>
          <w:rFonts w:ascii="Arial" w:hAnsi="Arial"/>
          <w:color w:val="000000"/>
          <w:sz w:val="20"/>
        </w:rPr>
        <w:t xml:space="preserve"> </w:t>
      </w:r>
    </w:p>
    <w:p w14:paraId="54A75634" w14:textId="3F715071" w:rsidR="0044620E" w:rsidRPr="00CC3ABC" w:rsidRDefault="00622A39" w:rsidP="006666F0">
      <w:pPr>
        <w:widowControl w:val="0"/>
        <w:numPr>
          <w:ilvl w:val="0"/>
          <w:numId w:val="1"/>
        </w:numPr>
        <w:autoSpaceDE w:val="0"/>
        <w:autoSpaceDN w:val="0"/>
        <w:adjustRightInd w:val="0"/>
        <w:spacing w:line="360" w:lineRule="auto"/>
        <w:rPr>
          <w:rFonts w:ascii="Arial" w:hAnsi="Arial" w:cs="Arial"/>
          <w:color w:val="000000"/>
          <w:sz w:val="20"/>
        </w:rPr>
      </w:pPr>
      <w:r w:rsidRPr="00E35C1C">
        <w:rPr>
          <w:rFonts w:ascii="Arial" w:hAnsi="Arial"/>
          <w:color w:val="000000"/>
          <w:sz w:val="20"/>
        </w:rPr>
        <w:t xml:space="preserve">Must meet the </w:t>
      </w:r>
      <w:r w:rsidR="00341B87" w:rsidRPr="00E35C1C">
        <w:rPr>
          <w:rFonts w:ascii="Arial" w:hAnsi="Arial"/>
          <w:color w:val="000000"/>
          <w:sz w:val="20"/>
        </w:rPr>
        <w:t>m</w:t>
      </w:r>
      <w:r w:rsidRPr="00E35C1C">
        <w:rPr>
          <w:rFonts w:ascii="Arial" w:hAnsi="Arial"/>
          <w:color w:val="000000"/>
          <w:sz w:val="20"/>
        </w:rPr>
        <w:t xml:space="preserve">inimum </w:t>
      </w:r>
      <w:r w:rsidR="00341B87" w:rsidRPr="00E35C1C">
        <w:rPr>
          <w:rFonts w:ascii="Arial" w:hAnsi="Arial"/>
          <w:color w:val="000000"/>
          <w:sz w:val="20"/>
        </w:rPr>
        <w:t xml:space="preserve">efficacy and </w:t>
      </w:r>
      <w:r w:rsidR="00F351DA">
        <w:rPr>
          <w:rFonts w:ascii="Arial" w:hAnsi="Arial"/>
          <w:color w:val="000000"/>
          <w:sz w:val="20"/>
        </w:rPr>
        <w:t>lumen</w:t>
      </w:r>
      <w:r w:rsidR="00F351DA" w:rsidRPr="00E35C1C">
        <w:rPr>
          <w:rFonts w:ascii="Arial" w:hAnsi="Arial"/>
          <w:color w:val="000000"/>
          <w:sz w:val="20"/>
        </w:rPr>
        <w:t xml:space="preserve"> </w:t>
      </w:r>
      <w:r w:rsidR="00CC3ABC" w:rsidRPr="00E35C1C">
        <w:rPr>
          <w:rFonts w:ascii="Arial" w:hAnsi="Arial"/>
          <w:color w:val="000000"/>
          <w:sz w:val="20"/>
        </w:rPr>
        <w:t>range</w:t>
      </w:r>
      <w:r w:rsidRPr="00E35C1C">
        <w:rPr>
          <w:rFonts w:ascii="Arial" w:hAnsi="Arial"/>
          <w:color w:val="000000"/>
          <w:sz w:val="20"/>
        </w:rPr>
        <w:t xml:space="preserve"> listed for the appropriate </w:t>
      </w:r>
      <w:r w:rsidR="00341B87" w:rsidRPr="00E35C1C">
        <w:rPr>
          <w:rFonts w:ascii="Arial" w:hAnsi="Arial"/>
          <w:color w:val="000000"/>
          <w:sz w:val="20"/>
        </w:rPr>
        <w:t>measure codes</w:t>
      </w:r>
      <w:r w:rsidRPr="00E35C1C">
        <w:rPr>
          <w:rFonts w:ascii="Arial" w:hAnsi="Arial"/>
          <w:color w:val="000000"/>
          <w:sz w:val="20"/>
        </w:rPr>
        <w:t xml:space="preserve"> in </w:t>
      </w:r>
      <w:r w:rsidR="00FF4B24">
        <w:rPr>
          <w:rFonts w:ascii="Arial" w:hAnsi="Arial"/>
          <w:color w:val="000000"/>
          <w:sz w:val="20"/>
        </w:rPr>
        <w:tab/>
      </w:r>
      <w:r w:rsidRPr="00E35C1C">
        <w:rPr>
          <w:rFonts w:ascii="Arial" w:hAnsi="Arial"/>
          <w:color w:val="000000"/>
          <w:sz w:val="20"/>
        </w:rPr>
        <w:t>Table 1.</w:t>
      </w:r>
    </w:p>
    <w:p w14:paraId="133437E3" w14:textId="77777777" w:rsidR="00787460" w:rsidRPr="002B40BA" w:rsidRDefault="00787460" w:rsidP="00787460">
      <w:pPr>
        <w:pStyle w:val="Caption"/>
        <w:ind w:left="288"/>
        <w:rPr>
          <w:highlight w:val="yellow"/>
        </w:rPr>
      </w:pPr>
    </w:p>
    <w:p w14:paraId="32A2EC3F" w14:textId="31FD1E07" w:rsidR="00DD12F1" w:rsidRPr="00C14B84" w:rsidRDefault="00306E82" w:rsidP="00C14B84">
      <w:pPr>
        <w:jc w:val="center"/>
        <w:rPr>
          <w:b/>
          <w:sz w:val="20"/>
          <w:szCs w:val="20"/>
        </w:rPr>
      </w:pPr>
      <w:bookmarkStart w:id="21" w:name="_Toc511038005"/>
      <w:bookmarkStart w:id="22" w:name="_Toc511244266"/>
      <w:bookmarkStart w:id="23" w:name="_Toc511244291"/>
      <w:r>
        <w:br w:type="page"/>
      </w:r>
      <w:bookmarkStart w:id="24" w:name="_Toc2804933"/>
      <w:r w:rsidR="00DD12F1" w:rsidRPr="00C14B84">
        <w:rPr>
          <w:b/>
          <w:sz w:val="20"/>
          <w:szCs w:val="20"/>
        </w:rPr>
        <w:lastRenderedPageBreak/>
        <w:t xml:space="preserve">Table </w:t>
      </w:r>
      <w:r w:rsidR="00047F6F" w:rsidRPr="00C14B84">
        <w:rPr>
          <w:b/>
          <w:sz w:val="20"/>
          <w:szCs w:val="20"/>
        </w:rPr>
        <w:fldChar w:fldCharType="begin"/>
      </w:r>
      <w:r w:rsidR="00047F6F" w:rsidRPr="00C14B84">
        <w:rPr>
          <w:b/>
          <w:sz w:val="20"/>
          <w:szCs w:val="20"/>
        </w:rPr>
        <w:instrText xml:space="preserve"> SEQ Table \* ARABIC </w:instrText>
      </w:r>
      <w:r w:rsidR="00047F6F" w:rsidRPr="00C14B84">
        <w:rPr>
          <w:b/>
          <w:sz w:val="20"/>
          <w:szCs w:val="20"/>
        </w:rPr>
        <w:fldChar w:fldCharType="separate"/>
      </w:r>
      <w:r w:rsidR="002505EA" w:rsidRPr="00C14B84">
        <w:rPr>
          <w:b/>
          <w:noProof/>
          <w:sz w:val="20"/>
          <w:szCs w:val="20"/>
        </w:rPr>
        <w:t>1</w:t>
      </w:r>
      <w:r w:rsidR="00047F6F" w:rsidRPr="00C14B84">
        <w:rPr>
          <w:b/>
          <w:noProof/>
          <w:sz w:val="20"/>
          <w:szCs w:val="20"/>
        </w:rPr>
        <w:fldChar w:fldCharType="end"/>
      </w:r>
      <w:r w:rsidR="007042ED" w:rsidRPr="00C14B84">
        <w:rPr>
          <w:b/>
          <w:sz w:val="20"/>
          <w:szCs w:val="20"/>
        </w:rPr>
        <w:t xml:space="preserve"> </w:t>
      </w:r>
      <w:r w:rsidR="00DD12F1" w:rsidRPr="00C14B84">
        <w:rPr>
          <w:b/>
          <w:sz w:val="20"/>
          <w:szCs w:val="20"/>
        </w:rPr>
        <w:t>LED High-Bay and Low-Bay</w:t>
      </w:r>
      <w:r w:rsidR="001C3A88" w:rsidRPr="00C14B84">
        <w:rPr>
          <w:b/>
          <w:sz w:val="20"/>
          <w:szCs w:val="20"/>
        </w:rPr>
        <w:t xml:space="preserve"> Measure Codes</w:t>
      </w:r>
      <w:bookmarkEnd w:id="21"/>
      <w:bookmarkEnd w:id="22"/>
      <w:bookmarkEnd w:id="23"/>
      <w:bookmarkEnd w:id="24"/>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1"/>
        <w:gridCol w:w="8189"/>
      </w:tblGrid>
      <w:tr w:rsidR="00E40631" w:rsidRPr="00E0642C" w14:paraId="5599825C" w14:textId="16AC5D0D" w:rsidTr="00E40631">
        <w:trPr>
          <w:trHeight w:val="337"/>
        </w:trPr>
        <w:tc>
          <w:tcPr>
            <w:tcW w:w="667" w:type="pct"/>
            <w:shd w:val="clear" w:color="auto" w:fill="auto"/>
            <w:vAlign w:val="center"/>
            <w:hideMark/>
          </w:tcPr>
          <w:p w14:paraId="6E49DA98" w14:textId="4D2B4F41" w:rsidR="00B53146" w:rsidRPr="00C6795B" w:rsidRDefault="00B53146" w:rsidP="00A72135">
            <w:pPr>
              <w:jc w:val="center"/>
              <w:rPr>
                <w:rFonts w:ascii="Arial" w:hAnsi="Arial" w:cs="Arial"/>
                <w:b/>
                <w:color w:val="000000"/>
                <w:sz w:val="20"/>
                <w:szCs w:val="20"/>
              </w:rPr>
            </w:pPr>
            <w:r w:rsidRPr="00C6795B">
              <w:rPr>
                <w:rFonts w:ascii="Arial" w:hAnsi="Arial" w:cs="Arial"/>
                <w:b/>
                <w:color w:val="000000"/>
                <w:sz w:val="20"/>
                <w:szCs w:val="20"/>
              </w:rPr>
              <w:t>Measure Codes</w:t>
            </w:r>
          </w:p>
        </w:tc>
        <w:tc>
          <w:tcPr>
            <w:tcW w:w="4333" w:type="pct"/>
            <w:shd w:val="clear" w:color="auto" w:fill="auto"/>
            <w:vAlign w:val="center"/>
            <w:hideMark/>
          </w:tcPr>
          <w:p w14:paraId="5E9028D0" w14:textId="11EB5591" w:rsidR="00B53146" w:rsidRPr="00C6795B" w:rsidRDefault="00B53146" w:rsidP="00D21AA0">
            <w:pPr>
              <w:rPr>
                <w:rFonts w:ascii="Arial" w:hAnsi="Arial" w:cs="Arial"/>
                <w:b/>
                <w:color w:val="000000"/>
                <w:sz w:val="20"/>
                <w:szCs w:val="20"/>
              </w:rPr>
            </w:pPr>
            <w:r w:rsidRPr="00C6795B">
              <w:rPr>
                <w:rFonts w:ascii="Arial" w:hAnsi="Arial" w:cs="Arial"/>
                <w:b/>
                <w:color w:val="000000"/>
                <w:sz w:val="20"/>
                <w:szCs w:val="20"/>
              </w:rPr>
              <w:t>Measure Description</w:t>
            </w:r>
          </w:p>
        </w:tc>
      </w:tr>
      <w:tr w:rsidR="00E40631" w:rsidRPr="00E0642C" w14:paraId="6877EA91" w14:textId="0DE8FF1D" w:rsidTr="00E40631">
        <w:trPr>
          <w:trHeight w:val="337"/>
        </w:trPr>
        <w:tc>
          <w:tcPr>
            <w:tcW w:w="667" w:type="pct"/>
            <w:shd w:val="clear" w:color="auto" w:fill="auto"/>
            <w:noWrap/>
            <w:vAlign w:val="center"/>
          </w:tcPr>
          <w:p w14:paraId="7D2AF250" w14:textId="25BFAD09" w:rsidR="00E40631" w:rsidRPr="00E40631"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LT514</w:t>
            </w:r>
          </w:p>
        </w:tc>
        <w:tc>
          <w:tcPr>
            <w:tcW w:w="4333" w:type="pct"/>
            <w:shd w:val="clear" w:color="auto" w:fill="auto"/>
            <w:noWrap/>
            <w:vAlign w:val="center"/>
          </w:tcPr>
          <w:p w14:paraId="739EE0AB" w14:textId="073C84D6" w:rsidR="00E40631" w:rsidRPr="00E40631" w:rsidRDefault="00E40631" w:rsidP="00E40631">
            <w:pPr>
              <w:rPr>
                <w:rFonts w:ascii="Arial"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4500 to &lt; 5400 lumens and &gt;= 110 LPW and &lt; 130 LPW</w:t>
            </w:r>
          </w:p>
        </w:tc>
      </w:tr>
      <w:tr w:rsidR="00E40631" w:rsidRPr="00E0642C" w14:paraId="05665F2C" w14:textId="2CBAAF6A" w:rsidTr="00E40631">
        <w:trPr>
          <w:trHeight w:val="337"/>
        </w:trPr>
        <w:tc>
          <w:tcPr>
            <w:tcW w:w="667" w:type="pct"/>
            <w:shd w:val="clear" w:color="auto" w:fill="auto"/>
            <w:noWrap/>
            <w:vAlign w:val="center"/>
          </w:tcPr>
          <w:p w14:paraId="5B6EB3CF" w14:textId="08ADCA64" w:rsidR="00E40631" w:rsidRPr="00E40631"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LT515</w:t>
            </w:r>
          </w:p>
        </w:tc>
        <w:tc>
          <w:tcPr>
            <w:tcW w:w="4333" w:type="pct"/>
            <w:shd w:val="clear" w:color="auto" w:fill="auto"/>
            <w:noWrap/>
            <w:vAlign w:val="center"/>
          </w:tcPr>
          <w:p w14:paraId="40F5050F" w14:textId="5C62F74A" w:rsidR="00E40631" w:rsidRPr="00E40631" w:rsidRDefault="00E40631" w:rsidP="00E40631">
            <w:pPr>
              <w:rPr>
                <w:rFonts w:ascii="Arial"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5400 to &lt; 6500 lumens and &gt;= 110 LPW and &lt; 130 LPW</w:t>
            </w:r>
          </w:p>
        </w:tc>
      </w:tr>
      <w:tr w:rsidR="00E40631" w:rsidRPr="00E0642C" w14:paraId="37AF2085" w14:textId="3830BDEC" w:rsidTr="00E40631">
        <w:trPr>
          <w:trHeight w:val="337"/>
        </w:trPr>
        <w:tc>
          <w:tcPr>
            <w:tcW w:w="667" w:type="pct"/>
            <w:shd w:val="clear" w:color="auto" w:fill="auto"/>
            <w:noWrap/>
            <w:vAlign w:val="center"/>
          </w:tcPr>
          <w:p w14:paraId="435DC864" w14:textId="42A27305" w:rsidR="00E40631" w:rsidRPr="00E40631"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LT516</w:t>
            </w:r>
          </w:p>
        </w:tc>
        <w:tc>
          <w:tcPr>
            <w:tcW w:w="4333" w:type="pct"/>
            <w:shd w:val="clear" w:color="auto" w:fill="auto"/>
            <w:noWrap/>
            <w:vAlign w:val="center"/>
          </w:tcPr>
          <w:p w14:paraId="7FDD8103" w14:textId="78563E4A" w:rsidR="00E40631" w:rsidRPr="00E40631" w:rsidRDefault="00E40631" w:rsidP="00E40631">
            <w:pPr>
              <w:rPr>
                <w:rFonts w:ascii="Arial" w:eastAsia="Calibri"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6500 to &lt; 7800 lumens and &gt;= 110 LPW and &lt; 130 LPW</w:t>
            </w:r>
          </w:p>
        </w:tc>
      </w:tr>
      <w:tr w:rsidR="00E40631" w:rsidRPr="00E0642C" w14:paraId="18225C94" w14:textId="4092B997" w:rsidTr="00E40631">
        <w:trPr>
          <w:trHeight w:val="337"/>
        </w:trPr>
        <w:tc>
          <w:tcPr>
            <w:tcW w:w="667" w:type="pct"/>
            <w:shd w:val="clear" w:color="auto" w:fill="auto"/>
            <w:noWrap/>
            <w:vAlign w:val="center"/>
          </w:tcPr>
          <w:p w14:paraId="547F59D8" w14:textId="7259BDC6" w:rsidR="00E40631" w:rsidRPr="00E40631"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LT517</w:t>
            </w:r>
          </w:p>
        </w:tc>
        <w:tc>
          <w:tcPr>
            <w:tcW w:w="4333" w:type="pct"/>
            <w:shd w:val="clear" w:color="auto" w:fill="auto"/>
            <w:noWrap/>
            <w:vAlign w:val="center"/>
          </w:tcPr>
          <w:p w14:paraId="34A690E8" w14:textId="063C8D8D" w:rsidR="00E40631" w:rsidRPr="00E40631" w:rsidRDefault="00E40631" w:rsidP="00E40631">
            <w:pPr>
              <w:rPr>
                <w:rFonts w:ascii="Arial" w:eastAsia="Calibri"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7800 to &lt; 9400 lumens and &gt;= 110 LPW and &lt; 130 LPW</w:t>
            </w:r>
          </w:p>
        </w:tc>
      </w:tr>
      <w:tr w:rsidR="00E40631" w:rsidRPr="00E0642C" w14:paraId="60AFFA6C" w14:textId="4A5635A9" w:rsidTr="00E40631">
        <w:trPr>
          <w:trHeight w:val="337"/>
        </w:trPr>
        <w:tc>
          <w:tcPr>
            <w:tcW w:w="667" w:type="pct"/>
            <w:shd w:val="clear" w:color="auto" w:fill="auto"/>
            <w:noWrap/>
            <w:vAlign w:val="center"/>
          </w:tcPr>
          <w:p w14:paraId="79466990" w14:textId="2B93AE45" w:rsidR="00E40631" w:rsidRPr="00E40631"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LT518</w:t>
            </w:r>
          </w:p>
        </w:tc>
        <w:tc>
          <w:tcPr>
            <w:tcW w:w="4333" w:type="pct"/>
            <w:shd w:val="clear" w:color="auto" w:fill="auto"/>
            <w:noWrap/>
            <w:vAlign w:val="center"/>
          </w:tcPr>
          <w:p w14:paraId="1D4CA450" w14:textId="1C340ED9" w:rsidR="00E40631" w:rsidRPr="00E40631" w:rsidRDefault="00E40631" w:rsidP="00E40631">
            <w:pPr>
              <w:rPr>
                <w:rFonts w:ascii="Arial" w:eastAsia="Calibri"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9400 to &lt; 11800 lumens and &gt;= 110 LPW and &lt; 130 LPW</w:t>
            </w:r>
          </w:p>
        </w:tc>
      </w:tr>
      <w:tr w:rsidR="00E40631" w:rsidRPr="00E0642C" w14:paraId="7EDDBF47" w14:textId="3072C578" w:rsidTr="00E40631">
        <w:trPr>
          <w:trHeight w:val="337"/>
        </w:trPr>
        <w:tc>
          <w:tcPr>
            <w:tcW w:w="667" w:type="pct"/>
            <w:shd w:val="clear" w:color="auto" w:fill="auto"/>
            <w:noWrap/>
            <w:vAlign w:val="center"/>
          </w:tcPr>
          <w:p w14:paraId="5A26F7FF" w14:textId="57184F7D" w:rsidR="00E40631" w:rsidRPr="00E40631"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LT519</w:t>
            </w:r>
          </w:p>
        </w:tc>
        <w:tc>
          <w:tcPr>
            <w:tcW w:w="4333" w:type="pct"/>
            <w:shd w:val="clear" w:color="auto" w:fill="auto"/>
            <w:noWrap/>
            <w:vAlign w:val="center"/>
          </w:tcPr>
          <w:p w14:paraId="2404C7A8" w14:textId="0AC21FFE" w:rsidR="00E40631" w:rsidRPr="00E40631" w:rsidRDefault="00E40631" w:rsidP="00E40631">
            <w:pPr>
              <w:rPr>
                <w:rFonts w:ascii="Arial" w:eastAsia="Calibri"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11800 to &lt; 14800 lumens and &gt;= 110 LPW and &lt; 130 LPW</w:t>
            </w:r>
          </w:p>
        </w:tc>
      </w:tr>
      <w:tr w:rsidR="00E40631" w:rsidRPr="00E0642C" w14:paraId="736DB911" w14:textId="496B42C6" w:rsidTr="00E40631">
        <w:trPr>
          <w:trHeight w:val="337"/>
        </w:trPr>
        <w:tc>
          <w:tcPr>
            <w:tcW w:w="667" w:type="pct"/>
            <w:shd w:val="clear" w:color="auto" w:fill="auto"/>
            <w:noWrap/>
            <w:vAlign w:val="center"/>
          </w:tcPr>
          <w:p w14:paraId="1C001157" w14:textId="5699B5AE" w:rsidR="00E40631" w:rsidRPr="00E40631"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LT520</w:t>
            </w:r>
          </w:p>
        </w:tc>
        <w:tc>
          <w:tcPr>
            <w:tcW w:w="4333" w:type="pct"/>
            <w:shd w:val="clear" w:color="auto" w:fill="auto"/>
            <w:noWrap/>
            <w:vAlign w:val="center"/>
          </w:tcPr>
          <w:p w14:paraId="49A5E489" w14:textId="57AA263C" w:rsidR="00E40631" w:rsidRPr="00E40631" w:rsidRDefault="00E40631" w:rsidP="00E40631">
            <w:pPr>
              <w:rPr>
                <w:rFonts w:ascii="Arial" w:eastAsia="Calibri"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14800 to &lt; 18500 lumens and &gt;= 120 LPW and &lt; 130 LPW</w:t>
            </w:r>
          </w:p>
        </w:tc>
      </w:tr>
      <w:tr w:rsidR="00E40631" w:rsidRPr="00E0642C" w14:paraId="2FE5BBEC" w14:textId="5A2F128D" w:rsidTr="00E40631">
        <w:trPr>
          <w:trHeight w:val="337"/>
        </w:trPr>
        <w:tc>
          <w:tcPr>
            <w:tcW w:w="667" w:type="pct"/>
            <w:shd w:val="clear" w:color="auto" w:fill="auto"/>
            <w:noWrap/>
            <w:vAlign w:val="center"/>
          </w:tcPr>
          <w:p w14:paraId="5361B730" w14:textId="1F6A464F" w:rsidR="00E40631" w:rsidRPr="00E40631"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LT521</w:t>
            </w:r>
          </w:p>
        </w:tc>
        <w:tc>
          <w:tcPr>
            <w:tcW w:w="4333" w:type="pct"/>
            <w:shd w:val="clear" w:color="auto" w:fill="auto"/>
            <w:noWrap/>
            <w:vAlign w:val="center"/>
          </w:tcPr>
          <w:p w14:paraId="66BD8992" w14:textId="251D1B63" w:rsidR="00E40631" w:rsidRPr="00E40631" w:rsidRDefault="00E40631" w:rsidP="00E40631">
            <w:pPr>
              <w:rPr>
                <w:rFonts w:ascii="Arial" w:eastAsia="Calibri"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18500 to &lt; 23100 lumens and &gt;= 120 LPW and &lt; 130 LPW</w:t>
            </w:r>
          </w:p>
        </w:tc>
      </w:tr>
      <w:tr w:rsidR="00E40631" w:rsidRPr="00E0642C" w14:paraId="20389159" w14:textId="7FF6BC53" w:rsidTr="00E40631">
        <w:trPr>
          <w:trHeight w:val="337"/>
        </w:trPr>
        <w:tc>
          <w:tcPr>
            <w:tcW w:w="667" w:type="pct"/>
            <w:shd w:val="clear" w:color="auto" w:fill="auto"/>
            <w:noWrap/>
            <w:vAlign w:val="center"/>
          </w:tcPr>
          <w:p w14:paraId="1B671C9C" w14:textId="79117821" w:rsidR="00E40631" w:rsidRPr="00E40631"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LT522</w:t>
            </w:r>
          </w:p>
        </w:tc>
        <w:tc>
          <w:tcPr>
            <w:tcW w:w="4333" w:type="pct"/>
            <w:shd w:val="clear" w:color="auto" w:fill="auto"/>
            <w:noWrap/>
            <w:vAlign w:val="center"/>
          </w:tcPr>
          <w:p w14:paraId="5DC15846" w14:textId="6B894E34" w:rsidR="00E40631" w:rsidRPr="00E40631" w:rsidRDefault="00E40631" w:rsidP="00E40631">
            <w:pPr>
              <w:rPr>
                <w:rFonts w:ascii="Arial" w:eastAsia="Calibri"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23100 to &lt; 30000 lumens and &gt;= 125 LPW and &lt; 135 LPW</w:t>
            </w:r>
          </w:p>
        </w:tc>
      </w:tr>
      <w:tr w:rsidR="00E40631" w:rsidRPr="00E0642C" w14:paraId="22E84C28" w14:textId="1EDCC80D" w:rsidTr="00E40631">
        <w:trPr>
          <w:trHeight w:val="337"/>
        </w:trPr>
        <w:tc>
          <w:tcPr>
            <w:tcW w:w="667" w:type="pct"/>
            <w:shd w:val="clear" w:color="auto" w:fill="auto"/>
            <w:noWrap/>
            <w:vAlign w:val="center"/>
          </w:tcPr>
          <w:p w14:paraId="352CB60F" w14:textId="41B052DB" w:rsidR="00E40631" w:rsidRPr="00E40631"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LT523</w:t>
            </w:r>
          </w:p>
        </w:tc>
        <w:tc>
          <w:tcPr>
            <w:tcW w:w="4333" w:type="pct"/>
            <w:shd w:val="clear" w:color="auto" w:fill="auto"/>
            <w:noWrap/>
            <w:vAlign w:val="center"/>
          </w:tcPr>
          <w:p w14:paraId="0F51362B" w14:textId="12BDE0DC" w:rsidR="00E40631" w:rsidRPr="00E40631" w:rsidRDefault="00E40631" w:rsidP="00E40631">
            <w:pPr>
              <w:rPr>
                <w:rFonts w:ascii="Arial" w:eastAsia="Calibri"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30000 to &lt; 39000 lumens and &gt;= 125 LPW and &lt; 135 LPW</w:t>
            </w:r>
          </w:p>
        </w:tc>
      </w:tr>
      <w:tr w:rsidR="00E40631" w:rsidRPr="00E0642C" w14:paraId="0C033A33" w14:textId="101CDFEB" w:rsidTr="00E40631">
        <w:trPr>
          <w:trHeight w:val="337"/>
        </w:trPr>
        <w:tc>
          <w:tcPr>
            <w:tcW w:w="667" w:type="pct"/>
            <w:shd w:val="clear" w:color="auto" w:fill="auto"/>
            <w:noWrap/>
            <w:vAlign w:val="center"/>
          </w:tcPr>
          <w:p w14:paraId="44BE6AA1" w14:textId="65CC7980" w:rsidR="00E40631" w:rsidRPr="00E40631"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LT524</w:t>
            </w:r>
          </w:p>
        </w:tc>
        <w:tc>
          <w:tcPr>
            <w:tcW w:w="4333" w:type="pct"/>
            <w:shd w:val="clear" w:color="auto" w:fill="auto"/>
            <w:noWrap/>
            <w:vAlign w:val="center"/>
          </w:tcPr>
          <w:p w14:paraId="580D82FF" w14:textId="762D153C" w:rsidR="00E40631" w:rsidRPr="00E40631" w:rsidRDefault="00E40631" w:rsidP="00E40631">
            <w:pPr>
              <w:rPr>
                <w:rFonts w:ascii="Arial" w:eastAsia="Calibri"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39000 to &lt; 50700 lumens and &gt;= 125 LPW and &lt; 135 LPW</w:t>
            </w:r>
          </w:p>
        </w:tc>
      </w:tr>
      <w:tr w:rsidR="00E40631" w:rsidRPr="00E0642C" w14:paraId="3D31DC6F" w14:textId="6F605DDB" w:rsidTr="00E40631">
        <w:trPr>
          <w:trHeight w:val="337"/>
        </w:trPr>
        <w:tc>
          <w:tcPr>
            <w:tcW w:w="667" w:type="pct"/>
            <w:shd w:val="clear" w:color="auto" w:fill="auto"/>
            <w:noWrap/>
            <w:vAlign w:val="center"/>
          </w:tcPr>
          <w:p w14:paraId="72DC6A73" w14:textId="6F38B0F5" w:rsidR="00E40631" w:rsidRPr="00E40631"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LT525</w:t>
            </w:r>
          </w:p>
        </w:tc>
        <w:tc>
          <w:tcPr>
            <w:tcW w:w="4333" w:type="pct"/>
            <w:shd w:val="clear" w:color="auto" w:fill="auto"/>
            <w:noWrap/>
            <w:vAlign w:val="center"/>
          </w:tcPr>
          <w:p w14:paraId="0CECB943" w14:textId="0D043F52" w:rsidR="00E40631" w:rsidRPr="00E40631" w:rsidRDefault="00E40631" w:rsidP="0072168D">
            <w:pPr>
              <w:rPr>
                <w:rFonts w:ascii="Arial"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50700 to &lt; 65900 lumens and &gt;= 125 LPW and &lt; </w:t>
            </w:r>
            <w:r w:rsidR="0072168D" w:rsidRPr="00E40631">
              <w:rPr>
                <w:rFonts w:ascii="Arial" w:hAnsi="Arial" w:cs="Arial"/>
                <w:color w:val="000000"/>
                <w:sz w:val="19"/>
                <w:szCs w:val="19"/>
              </w:rPr>
              <w:t>13</w:t>
            </w:r>
            <w:r w:rsidR="0072168D">
              <w:rPr>
                <w:rFonts w:ascii="Arial" w:hAnsi="Arial" w:cs="Arial"/>
                <w:color w:val="000000"/>
                <w:sz w:val="19"/>
                <w:szCs w:val="19"/>
              </w:rPr>
              <w:t>5</w:t>
            </w:r>
            <w:r w:rsidR="0072168D" w:rsidRPr="00E40631">
              <w:rPr>
                <w:rFonts w:ascii="Arial" w:hAnsi="Arial" w:cs="Arial"/>
                <w:color w:val="000000"/>
                <w:sz w:val="19"/>
                <w:szCs w:val="19"/>
              </w:rPr>
              <w:t xml:space="preserve"> </w:t>
            </w:r>
            <w:r w:rsidRPr="00E40631">
              <w:rPr>
                <w:rFonts w:ascii="Arial" w:hAnsi="Arial" w:cs="Arial"/>
                <w:color w:val="000000"/>
                <w:sz w:val="19"/>
                <w:szCs w:val="19"/>
              </w:rPr>
              <w:t>LPW</w:t>
            </w:r>
          </w:p>
        </w:tc>
      </w:tr>
      <w:tr w:rsidR="00E40631" w:rsidRPr="00E0642C" w14:paraId="7EE14781" w14:textId="77777777" w:rsidTr="00E40631">
        <w:trPr>
          <w:trHeight w:val="337"/>
        </w:trPr>
        <w:tc>
          <w:tcPr>
            <w:tcW w:w="667" w:type="pct"/>
            <w:shd w:val="clear" w:color="auto" w:fill="auto"/>
            <w:noWrap/>
            <w:vAlign w:val="center"/>
          </w:tcPr>
          <w:p w14:paraId="26EB6B7F" w14:textId="16F009F4" w:rsidR="00E40631" w:rsidRPr="00E40631" w:rsidDel="00853DA0"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LT526</w:t>
            </w:r>
          </w:p>
        </w:tc>
        <w:tc>
          <w:tcPr>
            <w:tcW w:w="4333" w:type="pct"/>
            <w:shd w:val="clear" w:color="auto" w:fill="auto"/>
            <w:noWrap/>
            <w:vAlign w:val="center"/>
          </w:tcPr>
          <w:p w14:paraId="7B1F67E2" w14:textId="4C812E82" w:rsidR="00E40631" w:rsidRPr="00E40631" w:rsidRDefault="00E40631" w:rsidP="00E40631">
            <w:pPr>
              <w:rPr>
                <w:rFonts w:ascii="Arial"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4500 to &lt; 5400 lumens and &gt;= 130 LPW</w:t>
            </w:r>
          </w:p>
        </w:tc>
      </w:tr>
      <w:tr w:rsidR="00E40631" w:rsidRPr="00E0642C" w14:paraId="271CFC09" w14:textId="77777777" w:rsidTr="00E40631">
        <w:trPr>
          <w:trHeight w:val="337"/>
        </w:trPr>
        <w:tc>
          <w:tcPr>
            <w:tcW w:w="667" w:type="pct"/>
            <w:shd w:val="clear" w:color="auto" w:fill="auto"/>
            <w:noWrap/>
            <w:vAlign w:val="center"/>
          </w:tcPr>
          <w:p w14:paraId="23810A30" w14:textId="11BA8E70" w:rsidR="00E40631" w:rsidRPr="00E40631" w:rsidDel="00853DA0"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LT527</w:t>
            </w:r>
          </w:p>
        </w:tc>
        <w:tc>
          <w:tcPr>
            <w:tcW w:w="4333" w:type="pct"/>
            <w:shd w:val="clear" w:color="auto" w:fill="auto"/>
            <w:noWrap/>
            <w:vAlign w:val="center"/>
          </w:tcPr>
          <w:p w14:paraId="4DFE129D" w14:textId="12E20466" w:rsidR="00E40631" w:rsidRPr="00E40631" w:rsidRDefault="00E40631" w:rsidP="00E40631">
            <w:pPr>
              <w:rPr>
                <w:rFonts w:ascii="Arial"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5400 to &lt; 6500 lumens and &gt;= 130 LPW</w:t>
            </w:r>
          </w:p>
        </w:tc>
      </w:tr>
      <w:tr w:rsidR="00E40631" w:rsidRPr="00E0642C" w14:paraId="1757BFF5" w14:textId="77777777" w:rsidTr="00E40631">
        <w:trPr>
          <w:trHeight w:val="337"/>
        </w:trPr>
        <w:tc>
          <w:tcPr>
            <w:tcW w:w="667" w:type="pct"/>
            <w:shd w:val="clear" w:color="auto" w:fill="auto"/>
            <w:noWrap/>
            <w:vAlign w:val="center"/>
          </w:tcPr>
          <w:p w14:paraId="1DFDA76F" w14:textId="3CF72C63" w:rsidR="00E40631" w:rsidRPr="00E40631" w:rsidDel="00853DA0"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LT528</w:t>
            </w:r>
          </w:p>
        </w:tc>
        <w:tc>
          <w:tcPr>
            <w:tcW w:w="4333" w:type="pct"/>
            <w:shd w:val="clear" w:color="auto" w:fill="auto"/>
            <w:noWrap/>
            <w:vAlign w:val="center"/>
          </w:tcPr>
          <w:p w14:paraId="6B50D712" w14:textId="03CF885D" w:rsidR="00E40631" w:rsidRPr="00E40631" w:rsidRDefault="00E40631" w:rsidP="00E40631">
            <w:pPr>
              <w:rPr>
                <w:rFonts w:ascii="Arial"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6500 to &lt; 7800 lumens and &gt;= 130 LPW</w:t>
            </w:r>
          </w:p>
        </w:tc>
      </w:tr>
      <w:tr w:rsidR="00E40631" w:rsidRPr="00E0642C" w14:paraId="07049670" w14:textId="77777777" w:rsidTr="00E40631">
        <w:trPr>
          <w:trHeight w:val="337"/>
        </w:trPr>
        <w:tc>
          <w:tcPr>
            <w:tcW w:w="667" w:type="pct"/>
            <w:shd w:val="clear" w:color="auto" w:fill="auto"/>
            <w:noWrap/>
            <w:vAlign w:val="center"/>
          </w:tcPr>
          <w:p w14:paraId="1C6BDB92" w14:textId="716EB9AA" w:rsidR="00E40631" w:rsidRPr="00E40631" w:rsidDel="00853DA0"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LT529</w:t>
            </w:r>
          </w:p>
        </w:tc>
        <w:tc>
          <w:tcPr>
            <w:tcW w:w="4333" w:type="pct"/>
            <w:shd w:val="clear" w:color="auto" w:fill="auto"/>
            <w:noWrap/>
            <w:vAlign w:val="center"/>
          </w:tcPr>
          <w:p w14:paraId="293C3D33" w14:textId="4BAEF9F4" w:rsidR="00E40631" w:rsidRPr="00E40631" w:rsidRDefault="00E40631" w:rsidP="00E40631">
            <w:pPr>
              <w:rPr>
                <w:rFonts w:ascii="Arial"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7800 to &lt; 9400 lumens and &gt;= 130 LPW</w:t>
            </w:r>
          </w:p>
        </w:tc>
      </w:tr>
      <w:tr w:rsidR="00E40631" w:rsidRPr="00E0642C" w14:paraId="7D30DE2B" w14:textId="77777777" w:rsidTr="00E40631">
        <w:trPr>
          <w:trHeight w:val="337"/>
        </w:trPr>
        <w:tc>
          <w:tcPr>
            <w:tcW w:w="667" w:type="pct"/>
            <w:shd w:val="clear" w:color="auto" w:fill="auto"/>
            <w:noWrap/>
            <w:vAlign w:val="center"/>
          </w:tcPr>
          <w:p w14:paraId="560BF00C" w14:textId="3FD59795" w:rsidR="00E40631" w:rsidRPr="00E40631" w:rsidDel="00853DA0"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LT530</w:t>
            </w:r>
          </w:p>
        </w:tc>
        <w:tc>
          <w:tcPr>
            <w:tcW w:w="4333" w:type="pct"/>
            <w:shd w:val="clear" w:color="auto" w:fill="auto"/>
            <w:noWrap/>
            <w:vAlign w:val="center"/>
          </w:tcPr>
          <w:p w14:paraId="4B39A30C" w14:textId="12B7D8E4" w:rsidR="00E40631" w:rsidRPr="00E40631" w:rsidRDefault="00E40631" w:rsidP="00E40631">
            <w:pPr>
              <w:rPr>
                <w:rFonts w:ascii="Arial"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9400 to &lt; 11800 lumens and &gt;= 130 LPW</w:t>
            </w:r>
          </w:p>
        </w:tc>
      </w:tr>
      <w:tr w:rsidR="00E40631" w:rsidRPr="00E0642C" w14:paraId="2231E735" w14:textId="77777777" w:rsidTr="00E40631">
        <w:trPr>
          <w:trHeight w:val="337"/>
        </w:trPr>
        <w:tc>
          <w:tcPr>
            <w:tcW w:w="667" w:type="pct"/>
            <w:shd w:val="clear" w:color="auto" w:fill="auto"/>
            <w:noWrap/>
            <w:vAlign w:val="center"/>
          </w:tcPr>
          <w:p w14:paraId="56C81D84" w14:textId="00250D78" w:rsidR="00E40631" w:rsidRPr="00E40631" w:rsidDel="00853DA0"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LT531</w:t>
            </w:r>
          </w:p>
        </w:tc>
        <w:tc>
          <w:tcPr>
            <w:tcW w:w="4333" w:type="pct"/>
            <w:shd w:val="clear" w:color="auto" w:fill="auto"/>
            <w:noWrap/>
            <w:vAlign w:val="center"/>
          </w:tcPr>
          <w:p w14:paraId="4A89C406" w14:textId="32084EBD" w:rsidR="00E40631" w:rsidRPr="00E40631" w:rsidRDefault="00E40631" w:rsidP="00E40631">
            <w:pPr>
              <w:rPr>
                <w:rFonts w:ascii="Arial"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11800 to &lt; 14800 lumens and &gt;= 130 LPW</w:t>
            </w:r>
          </w:p>
        </w:tc>
      </w:tr>
      <w:tr w:rsidR="00E40631" w:rsidRPr="00E0642C" w14:paraId="08EB2ED9" w14:textId="41A5A27B" w:rsidTr="00E40631">
        <w:trPr>
          <w:trHeight w:val="337"/>
        </w:trPr>
        <w:tc>
          <w:tcPr>
            <w:tcW w:w="667" w:type="pct"/>
            <w:shd w:val="clear" w:color="auto" w:fill="auto"/>
            <w:noWrap/>
            <w:vAlign w:val="center"/>
          </w:tcPr>
          <w:p w14:paraId="3CE25894" w14:textId="4DA591CF" w:rsidR="00E40631" w:rsidRPr="00E40631"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LT532</w:t>
            </w:r>
          </w:p>
        </w:tc>
        <w:tc>
          <w:tcPr>
            <w:tcW w:w="4333" w:type="pct"/>
            <w:shd w:val="clear" w:color="auto" w:fill="auto"/>
            <w:noWrap/>
            <w:vAlign w:val="center"/>
          </w:tcPr>
          <w:p w14:paraId="526CFFD4" w14:textId="63D7A271" w:rsidR="00E40631" w:rsidRPr="00E40631" w:rsidRDefault="00E40631" w:rsidP="00E40631">
            <w:pPr>
              <w:rPr>
                <w:rFonts w:ascii="Arial"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14800 to &lt; 18500 lumens and &gt;= 130 LPW</w:t>
            </w:r>
          </w:p>
        </w:tc>
      </w:tr>
      <w:tr w:rsidR="00E40631" w:rsidRPr="00E0642C" w14:paraId="176D9FD2" w14:textId="4CE55411" w:rsidTr="00E40631">
        <w:trPr>
          <w:trHeight w:val="337"/>
        </w:trPr>
        <w:tc>
          <w:tcPr>
            <w:tcW w:w="667" w:type="pct"/>
            <w:shd w:val="clear" w:color="auto" w:fill="auto"/>
            <w:noWrap/>
            <w:vAlign w:val="center"/>
          </w:tcPr>
          <w:p w14:paraId="417100E4" w14:textId="53AD3207" w:rsidR="00E40631" w:rsidRPr="00E40631"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LT533</w:t>
            </w:r>
          </w:p>
        </w:tc>
        <w:tc>
          <w:tcPr>
            <w:tcW w:w="4333" w:type="pct"/>
            <w:shd w:val="clear" w:color="auto" w:fill="auto"/>
            <w:noWrap/>
            <w:vAlign w:val="center"/>
          </w:tcPr>
          <w:p w14:paraId="273BFE4D" w14:textId="2A519668" w:rsidR="00E40631" w:rsidRPr="00E40631" w:rsidRDefault="00E40631" w:rsidP="00E40631">
            <w:pPr>
              <w:rPr>
                <w:rFonts w:ascii="Arial" w:eastAsia="Calibri"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18500 to &lt; 23100 lumens and &gt;= 130 LPW</w:t>
            </w:r>
          </w:p>
        </w:tc>
      </w:tr>
      <w:tr w:rsidR="00E40631" w:rsidRPr="00E0642C" w14:paraId="0C1371A5" w14:textId="77777777" w:rsidTr="00E40631">
        <w:trPr>
          <w:trHeight w:val="337"/>
        </w:trPr>
        <w:tc>
          <w:tcPr>
            <w:tcW w:w="667" w:type="pct"/>
            <w:shd w:val="clear" w:color="auto" w:fill="auto"/>
            <w:noWrap/>
            <w:vAlign w:val="center"/>
          </w:tcPr>
          <w:p w14:paraId="6F84B6A3" w14:textId="4BA01675" w:rsidR="00E40631" w:rsidRPr="00E40631"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LT534</w:t>
            </w:r>
          </w:p>
        </w:tc>
        <w:tc>
          <w:tcPr>
            <w:tcW w:w="4333" w:type="pct"/>
            <w:shd w:val="clear" w:color="auto" w:fill="auto"/>
            <w:noWrap/>
            <w:vAlign w:val="center"/>
          </w:tcPr>
          <w:p w14:paraId="6A1A3FEE" w14:textId="10C42937" w:rsidR="00E40631" w:rsidRPr="00E40631" w:rsidRDefault="00E40631" w:rsidP="00E40631">
            <w:pPr>
              <w:rPr>
                <w:rFonts w:ascii="Arial"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23100 to &lt; 30000 lumens and &gt;= 135 LPW</w:t>
            </w:r>
          </w:p>
        </w:tc>
      </w:tr>
      <w:tr w:rsidR="00E40631" w:rsidRPr="00E0642C" w14:paraId="1ECEB828" w14:textId="77777777" w:rsidTr="00E40631">
        <w:trPr>
          <w:trHeight w:val="337"/>
        </w:trPr>
        <w:tc>
          <w:tcPr>
            <w:tcW w:w="667" w:type="pct"/>
            <w:shd w:val="clear" w:color="auto" w:fill="auto"/>
            <w:noWrap/>
            <w:vAlign w:val="center"/>
          </w:tcPr>
          <w:p w14:paraId="6FD9C217" w14:textId="23D570E7" w:rsidR="00E40631" w:rsidRPr="00E40631"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LT535</w:t>
            </w:r>
          </w:p>
        </w:tc>
        <w:tc>
          <w:tcPr>
            <w:tcW w:w="4333" w:type="pct"/>
            <w:shd w:val="clear" w:color="auto" w:fill="auto"/>
            <w:noWrap/>
            <w:vAlign w:val="center"/>
          </w:tcPr>
          <w:p w14:paraId="766BC0C2" w14:textId="6A153B1E" w:rsidR="00E40631" w:rsidRPr="00E40631" w:rsidRDefault="00E40631" w:rsidP="00E40631">
            <w:pPr>
              <w:rPr>
                <w:rFonts w:ascii="Arial"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30000 to &lt; 39000 lumens and &gt;= 135 LPW</w:t>
            </w:r>
          </w:p>
        </w:tc>
      </w:tr>
      <w:tr w:rsidR="00E40631" w:rsidRPr="00E0642C" w14:paraId="161975A0" w14:textId="77777777" w:rsidTr="00E40631">
        <w:trPr>
          <w:trHeight w:val="337"/>
        </w:trPr>
        <w:tc>
          <w:tcPr>
            <w:tcW w:w="667" w:type="pct"/>
            <w:shd w:val="clear" w:color="auto" w:fill="auto"/>
            <w:noWrap/>
            <w:vAlign w:val="center"/>
          </w:tcPr>
          <w:p w14:paraId="2E511F7A" w14:textId="0716421E" w:rsidR="00E40631" w:rsidRPr="00E40631"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LT536</w:t>
            </w:r>
          </w:p>
        </w:tc>
        <w:tc>
          <w:tcPr>
            <w:tcW w:w="4333" w:type="pct"/>
            <w:shd w:val="clear" w:color="auto" w:fill="auto"/>
            <w:noWrap/>
            <w:vAlign w:val="center"/>
          </w:tcPr>
          <w:p w14:paraId="55B4D9EE" w14:textId="301D73D8" w:rsidR="00E40631" w:rsidRPr="00E40631" w:rsidRDefault="00E40631" w:rsidP="00E40631">
            <w:pPr>
              <w:rPr>
                <w:rFonts w:ascii="Arial"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39000 to &lt; 50700 lumens and &gt;= 135 LPW</w:t>
            </w:r>
          </w:p>
        </w:tc>
      </w:tr>
      <w:tr w:rsidR="00E40631" w:rsidRPr="00E0642C" w14:paraId="0746260E" w14:textId="77777777" w:rsidTr="00E40631">
        <w:trPr>
          <w:trHeight w:val="337"/>
        </w:trPr>
        <w:tc>
          <w:tcPr>
            <w:tcW w:w="667" w:type="pct"/>
            <w:shd w:val="clear" w:color="auto" w:fill="auto"/>
            <w:noWrap/>
            <w:vAlign w:val="center"/>
          </w:tcPr>
          <w:p w14:paraId="72E12F65" w14:textId="091407C1" w:rsidR="00E40631" w:rsidRPr="00E40631" w:rsidRDefault="00E40631" w:rsidP="00E40631">
            <w:pPr>
              <w:autoSpaceDE w:val="0"/>
              <w:autoSpaceDN w:val="0"/>
              <w:jc w:val="center"/>
              <w:rPr>
                <w:rFonts w:ascii="Arial" w:hAnsi="Arial" w:cs="Arial"/>
                <w:color w:val="000000"/>
                <w:sz w:val="19"/>
                <w:szCs w:val="19"/>
              </w:rPr>
            </w:pPr>
            <w:r w:rsidRPr="00E40631">
              <w:rPr>
                <w:rFonts w:ascii="Arial" w:hAnsi="Arial" w:cs="Arial"/>
                <w:color w:val="000000"/>
                <w:sz w:val="19"/>
                <w:szCs w:val="19"/>
              </w:rPr>
              <w:t>LT537</w:t>
            </w:r>
          </w:p>
        </w:tc>
        <w:tc>
          <w:tcPr>
            <w:tcW w:w="4333" w:type="pct"/>
            <w:shd w:val="clear" w:color="auto" w:fill="auto"/>
            <w:noWrap/>
            <w:vAlign w:val="center"/>
          </w:tcPr>
          <w:p w14:paraId="5C997C65" w14:textId="7586FFCD" w:rsidR="00E40631" w:rsidRPr="00E40631" w:rsidRDefault="00E40631" w:rsidP="00E40631">
            <w:pPr>
              <w:rPr>
                <w:rFonts w:ascii="Arial" w:hAnsi="Arial" w:cs="Arial"/>
                <w:color w:val="000000"/>
                <w:sz w:val="19"/>
                <w:szCs w:val="19"/>
              </w:rPr>
            </w:pPr>
            <w:r w:rsidRPr="00E40631">
              <w:rPr>
                <w:rFonts w:ascii="Arial" w:hAnsi="Arial" w:cs="Arial"/>
                <w:color w:val="000000"/>
                <w:sz w:val="19"/>
                <w:szCs w:val="19"/>
              </w:rPr>
              <w:t xml:space="preserve">LED </w:t>
            </w:r>
            <w:proofErr w:type="spellStart"/>
            <w:r w:rsidRPr="00E40631">
              <w:rPr>
                <w:rFonts w:ascii="Arial" w:hAnsi="Arial" w:cs="Arial"/>
                <w:color w:val="000000"/>
                <w:sz w:val="19"/>
                <w:szCs w:val="19"/>
              </w:rPr>
              <w:t>HighBay</w:t>
            </w:r>
            <w:proofErr w:type="spellEnd"/>
            <w:r w:rsidRPr="00E40631">
              <w:rPr>
                <w:rFonts w:ascii="Arial" w:hAnsi="Arial" w:cs="Arial"/>
                <w:color w:val="000000"/>
                <w:sz w:val="19"/>
                <w:szCs w:val="19"/>
              </w:rPr>
              <w:t xml:space="preserve"> luminaire rated from 50700 to &lt; 65900 lumens and &gt;= 135 LPW</w:t>
            </w:r>
          </w:p>
        </w:tc>
      </w:tr>
    </w:tbl>
    <w:p w14:paraId="5EB68863" w14:textId="77777777" w:rsidR="00EB3F2D" w:rsidRDefault="00EB3F2D" w:rsidP="00872913">
      <w:pPr>
        <w:rPr>
          <w:rFonts w:ascii="Arial" w:hAnsi="Arial" w:cs="Arial"/>
          <w:b/>
          <w:i/>
        </w:rPr>
      </w:pPr>
    </w:p>
    <w:p w14:paraId="61C406CF" w14:textId="642B8578" w:rsidR="00521920" w:rsidRPr="00FF271D" w:rsidRDefault="00521920" w:rsidP="00A243C3">
      <w:pPr>
        <w:rPr>
          <w:rFonts w:ascii="Arial" w:hAnsi="Arial" w:cs="Arial"/>
          <w:b/>
          <w:i/>
        </w:rPr>
      </w:pPr>
      <w:r w:rsidRPr="00FF271D">
        <w:rPr>
          <w:rFonts w:ascii="Arial" w:hAnsi="Arial" w:cs="Arial"/>
          <w:b/>
          <w:i/>
        </w:rPr>
        <w:t>Program Restrictions and Guidelines</w:t>
      </w:r>
      <w:r w:rsidR="00436AF7">
        <w:rPr>
          <w:rFonts w:ascii="Arial" w:hAnsi="Arial" w:cs="Arial"/>
          <w:b/>
          <w:i/>
        </w:rPr>
        <w:t xml:space="preserve"> </w:t>
      </w:r>
    </w:p>
    <w:p w14:paraId="384613EF" w14:textId="7927D2AB" w:rsidR="00C50281" w:rsidRPr="00E0642C" w:rsidRDefault="005B5BB4" w:rsidP="009D443B">
      <w:pPr>
        <w:spacing w:before="80"/>
        <w:rPr>
          <w:rFonts w:ascii="Arial" w:hAnsi="Arial" w:cs="Arial"/>
          <w:sz w:val="20"/>
          <w:szCs w:val="20"/>
        </w:rPr>
      </w:pPr>
      <w:r w:rsidRPr="00E0642C">
        <w:rPr>
          <w:rFonts w:ascii="Arial" w:hAnsi="Arial" w:cs="Arial"/>
          <w:sz w:val="20"/>
          <w:szCs w:val="20"/>
        </w:rPr>
        <w:t xml:space="preserve">This workpaper details the </w:t>
      </w:r>
      <w:r w:rsidR="00CC3ABC" w:rsidRPr="00E0642C">
        <w:rPr>
          <w:rFonts w:ascii="Arial" w:hAnsi="Arial" w:cs="Arial"/>
          <w:sz w:val="20"/>
          <w:szCs w:val="20"/>
        </w:rPr>
        <w:t xml:space="preserve">savings associated with implementation of energy efficient </w:t>
      </w:r>
      <w:r w:rsidRPr="00E0642C">
        <w:rPr>
          <w:rFonts w:ascii="Arial" w:hAnsi="Arial" w:cs="Arial"/>
          <w:sz w:val="20"/>
          <w:szCs w:val="20"/>
        </w:rPr>
        <w:t xml:space="preserve">LED </w:t>
      </w:r>
      <w:r w:rsidR="00452CA5" w:rsidRPr="00E0642C">
        <w:rPr>
          <w:rFonts w:ascii="Arial" w:hAnsi="Arial" w:cs="Arial"/>
          <w:sz w:val="20"/>
          <w:szCs w:val="20"/>
        </w:rPr>
        <w:t>High-Bay</w:t>
      </w:r>
      <w:r w:rsidR="00984EDC" w:rsidRPr="00E0642C">
        <w:rPr>
          <w:rFonts w:ascii="Arial" w:hAnsi="Arial" w:cs="Arial"/>
          <w:sz w:val="20"/>
          <w:szCs w:val="20"/>
        </w:rPr>
        <w:t>/Low-Bay</w:t>
      </w:r>
      <w:r w:rsidR="00452CA5" w:rsidRPr="00E0642C">
        <w:rPr>
          <w:rFonts w:ascii="Arial" w:hAnsi="Arial" w:cs="Arial"/>
          <w:sz w:val="20"/>
          <w:szCs w:val="20"/>
        </w:rPr>
        <w:t xml:space="preserve"> fixtures</w:t>
      </w:r>
      <w:r w:rsidR="00CC3ABC" w:rsidRPr="00E0642C">
        <w:rPr>
          <w:sz w:val="20"/>
          <w:szCs w:val="20"/>
        </w:rPr>
        <w:t xml:space="preserve"> </w:t>
      </w:r>
      <w:r w:rsidR="00CC3ABC" w:rsidRPr="00E0642C">
        <w:rPr>
          <w:rFonts w:ascii="Arial" w:hAnsi="Arial" w:cs="Arial"/>
          <w:sz w:val="20"/>
          <w:szCs w:val="20"/>
        </w:rPr>
        <w:t>and retrofit kits.</w:t>
      </w:r>
      <w:r w:rsidR="005649C7" w:rsidRPr="00E0642C">
        <w:rPr>
          <w:rFonts w:ascii="Arial" w:hAnsi="Arial" w:cs="Arial"/>
          <w:sz w:val="20"/>
          <w:szCs w:val="20"/>
        </w:rPr>
        <w:t xml:space="preserve"> </w:t>
      </w:r>
      <w:r w:rsidR="00CB4218" w:rsidRPr="00E0642C">
        <w:rPr>
          <w:rFonts w:ascii="Arial" w:hAnsi="Arial" w:cs="Arial"/>
          <w:sz w:val="20"/>
          <w:szCs w:val="20"/>
        </w:rPr>
        <w:t>The delivery method</w:t>
      </w:r>
      <w:r w:rsidR="00341B87" w:rsidRPr="00E0642C">
        <w:rPr>
          <w:rFonts w:ascii="Arial" w:hAnsi="Arial" w:cs="Arial"/>
          <w:sz w:val="20"/>
          <w:szCs w:val="20"/>
        </w:rPr>
        <w:t>s allowed</w:t>
      </w:r>
      <w:r w:rsidR="00CB4218" w:rsidRPr="00E0642C">
        <w:rPr>
          <w:rFonts w:ascii="Arial" w:hAnsi="Arial" w:cs="Arial"/>
          <w:sz w:val="20"/>
          <w:szCs w:val="20"/>
        </w:rPr>
        <w:t xml:space="preserve"> </w:t>
      </w:r>
      <w:r w:rsidR="00341B87" w:rsidRPr="00E0642C">
        <w:rPr>
          <w:rFonts w:ascii="Arial" w:hAnsi="Arial" w:cs="Arial"/>
          <w:sz w:val="20"/>
          <w:szCs w:val="20"/>
        </w:rPr>
        <w:t xml:space="preserve">include </w:t>
      </w:r>
      <w:r w:rsidR="00D46E0B" w:rsidRPr="00E0642C">
        <w:rPr>
          <w:rFonts w:ascii="Arial" w:hAnsi="Arial" w:cs="Arial"/>
          <w:sz w:val="20"/>
          <w:szCs w:val="20"/>
        </w:rPr>
        <w:t>Downstream</w:t>
      </w:r>
      <w:r w:rsidR="0066185B" w:rsidRPr="00E0642C">
        <w:rPr>
          <w:rFonts w:ascii="Arial" w:hAnsi="Arial" w:cs="Arial"/>
          <w:sz w:val="20"/>
          <w:szCs w:val="20"/>
        </w:rPr>
        <w:t>, Mid</w:t>
      </w:r>
      <w:r w:rsidR="00984EDC" w:rsidRPr="00E0642C">
        <w:rPr>
          <w:rFonts w:ascii="Arial" w:hAnsi="Arial" w:cs="Arial"/>
          <w:sz w:val="20"/>
          <w:szCs w:val="20"/>
        </w:rPr>
        <w:t>stream</w:t>
      </w:r>
      <w:r w:rsidR="00592BF1" w:rsidRPr="00E0642C">
        <w:rPr>
          <w:rFonts w:ascii="Arial" w:hAnsi="Arial" w:cs="Arial"/>
          <w:sz w:val="20"/>
          <w:szCs w:val="20"/>
        </w:rPr>
        <w:t>,</w:t>
      </w:r>
      <w:r w:rsidR="00CB4218" w:rsidRPr="00E0642C">
        <w:rPr>
          <w:rFonts w:ascii="Arial" w:hAnsi="Arial" w:cs="Arial"/>
          <w:sz w:val="20"/>
          <w:szCs w:val="20"/>
        </w:rPr>
        <w:t xml:space="preserve"> </w:t>
      </w:r>
      <w:r w:rsidR="00B16195" w:rsidRPr="00E0642C">
        <w:rPr>
          <w:rFonts w:ascii="Arial" w:hAnsi="Arial" w:cs="Arial"/>
          <w:sz w:val="20"/>
          <w:szCs w:val="20"/>
        </w:rPr>
        <w:t>and Direct Install</w:t>
      </w:r>
      <w:r w:rsidR="00341B87" w:rsidRPr="00E0642C">
        <w:rPr>
          <w:rFonts w:ascii="Arial" w:hAnsi="Arial" w:cs="Arial"/>
          <w:sz w:val="20"/>
          <w:szCs w:val="20"/>
        </w:rPr>
        <w:t xml:space="preserve"> Programs</w:t>
      </w:r>
      <w:r w:rsidR="00B16195" w:rsidRPr="00E0642C">
        <w:rPr>
          <w:rFonts w:ascii="Arial" w:hAnsi="Arial" w:cs="Arial"/>
          <w:sz w:val="20"/>
          <w:szCs w:val="20"/>
        </w:rPr>
        <w:t xml:space="preserve"> </w:t>
      </w:r>
      <w:r w:rsidR="00CB4218" w:rsidRPr="00E0642C">
        <w:rPr>
          <w:rFonts w:ascii="Arial" w:hAnsi="Arial" w:cs="Arial"/>
          <w:sz w:val="20"/>
          <w:szCs w:val="20"/>
        </w:rPr>
        <w:t xml:space="preserve">for </w:t>
      </w:r>
      <w:r w:rsidR="00341B87" w:rsidRPr="00E0642C">
        <w:rPr>
          <w:rFonts w:ascii="Arial" w:hAnsi="Arial" w:cs="Arial"/>
          <w:sz w:val="20"/>
          <w:szCs w:val="20"/>
        </w:rPr>
        <w:t xml:space="preserve">non-residential </w:t>
      </w:r>
      <w:r w:rsidR="00D46E0B" w:rsidRPr="00E0642C">
        <w:rPr>
          <w:rFonts w:ascii="Arial" w:hAnsi="Arial" w:cs="Arial"/>
          <w:sz w:val="20"/>
          <w:szCs w:val="20"/>
        </w:rPr>
        <w:t>customers</w:t>
      </w:r>
      <w:r w:rsidR="00CB4218" w:rsidRPr="00E0642C">
        <w:rPr>
          <w:rFonts w:ascii="Arial" w:hAnsi="Arial" w:cs="Arial"/>
          <w:sz w:val="20"/>
          <w:szCs w:val="20"/>
        </w:rPr>
        <w:t xml:space="preserve">. </w:t>
      </w:r>
    </w:p>
    <w:p w14:paraId="73777E67" w14:textId="77777777" w:rsidR="00C50281" w:rsidRPr="00E0642C" w:rsidRDefault="00C50281" w:rsidP="00C50281">
      <w:pPr>
        <w:rPr>
          <w:rFonts w:ascii="Arial" w:hAnsi="Arial" w:cs="Arial"/>
          <w:sz w:val="20"/>
          <w:szCs w:val="20"/>
        </w:rPr>
      </w:pPr>
    </w:p>
    <w:p w14:paraId="1235CCA3" w14:textId="6685D70A" w:rsidR="00C8399F" w:rsidRPr="00E0642C" w:rsidRDefault="00C50281" w:rsidP="00B16195">
      <w:pPr>
        <w:rPr>
          <w:rFonts w:ascii="Arial" w:hAnsi="Arial" w:cs="Arial"/>
          <w:sz w:val="20"/>
          <w:szCs w:val="20"/>
        </w:rPr>
      </w:pPr>
      <w:r w:rsidRPr="00E0642C">
        <w:rPr>
          <w:rFonts w:ascii="Arial" w:hAnsi="Arial" w:cs="Arial"/>
          <w:sz w:val="20"/>
          <w:szCs w:val="20"/>
        </w:rPr>
        <w:t xml:space="preserve">The LED fixture or retrofit kit must </w:t>
      </w:r>
      <w:r w:rsidR="001416D1" w:rsidRPr="00E0642C">
        <w:rPr>
          <w:rFonts w:ascii="Arial" w:hAnsi="Arial" w:cs="Arial"/>
          <w:sz w:val="20"/>
          <w:szCs w:val="20"/>
        </w:rPr>
        <w:t xml:space="preserve">be </w:t>
      </w:r>
      <w:r w:rsidR="00B16195" w:rsidRPr="00E0642C">
        <w:rPr>
          <w:rFonts w:ascii="Arial" w:hAnsi="Arial" w:cs="Arial"/>
          <w:sz w:val="20"/>
          <w:szCs w:val="20"/>
        </w:rPr>
        <w:t xml:space="preserve">listed </w:t>
      </w:r>
      <w:r w:rsidR="00080CC7">
        <w:rPr>
          <w:rFonts w:ascii="Arial" w:hAnsi="Arial" w:cs="Arial"/>
          <w:sz w:val="20"/>
          <w:szCs w:val="20"/>
        </w:rPr>
        <w:t xml:space="preserve">on the </w:t>
      </w:r>
      <w:r w:rsidR="009D443B">
        <w:rPr>
          <w:rFonts w:ascii="Arial" w:hAnsi="Arial" w:cs="Arial"/>
          <w:sz w:val="20"/>
          <w:szCs w:val="20"/>
        </w:rPr>
        <w:t>current</w:t>
      </w:r>
      <w:r w:rsidR="00B3653F">
        <w:rPr>
          <w:rFonts w:ascii="Arial" w:hAnsi="Arial" w:cs="Arial"/>
          <w:sz w:val="20"/>
          <w:szCs w:val="20"/>
        </w:rPr>
        <w:t>ly applicable</w:t>
      </w:r>
      <w:r w:rsidR="009D443B">
        <w:rPr>
          <w:rFonts w:ascii="Arial" w:hAnsi="Arial" w:cs="Arial"/>
          <w:sz w:val="20"/>
          <w:szCs w:val="20"/>
        </w:rPr>
        <w:t xml:space="preserve"> </w:t>
      </w:r>
      <w:r w:rsidR="00B3653F">
        <w:rPr>
          <w:rFonts w:ascii="Arial" w:hAnsi="Arial" w:cs="Arial"/>
          <w:sz w:val="20"/>
          <w:szCs w:val="20"/>
        </w:rPr>
        <w:t>DLC’s</w:t>
      </w:r>
      <w:r w:rsidR="00B3653F" w:rsidRPr="00E0642C">
        <w:rPr>
          <w:rFonts w:ascii="Arial" w:hAnsi="Arial" w:cs="Arial"/>
          <w:sz w:val="20"/>
          <w:szCs w:val="20"/>
        </w:rPr>
        <w:t xml:space="preserve"> </w:t>
      </w:r>
      <w:r w:rsidR="00F351DA">
        <w:rPr>
          <w:rFonts w:ascii="Arial" w:hAnsi="Arial" w:cs="Arial"/>
          <w:sz w:val="20"/>
          <w:szCs w:val="20"/>
        </w:rPr>
        <w:t>T</w:t>
      </w:r>
      <w:r w:rsidR="00B3653F" w:rsidRPr="00E0642C">
        <w:rPr>
          <w:rFonts w:ascii="Arial" w:hAnsi="Arial" w:cs="Arial"/>
          <w:sz w:val="20"/>
          <w:szCs w:val="20"/>
        </w:rPr>
        <w:t xml:space="preserve">echnical </w:t>
      </w:r>
      <w:r w:rsidR="00F351DA">
        <w:rPr>
          <w:rFonts w:ascii="Arial" w:hAnsi="Arial" w:cs="Arial"/>
          <w:sz w:val="20"/>
          <w:szCs w:val="20"/>
        </w:rPr>
        <w:t>R</w:t>
      </w:r>
      <w:r w:rsidR="00B3653F" w:rsidRPr="00E0642C">
        <w:rPr>
          <w:rFonts w:ascii="Arial" w:hAnsi="Arial" w:cs="Arial"/>
          <w:sz w:val="20"/>
          <w:szCs w:val="20"/>
        </w:rPr>
        <w:t>equirements</w:t>
      </w:r>
      <w:r w:rsidR="00B3653F">
        <w:rPr>
          <w:rFonts w:ascii="Arial" w:hAnsi="Arial" w:cs="Arial"/>
          <w:sz w:val="20"/>
          <w:szCs w:val="20"/>
        </w:rPr>
        <w:t xml:space="preserve"> </w:t>
      </w:r>
      <w:r w:rsidR="00B16195" w:rsidRPr="00E0642C">
        <w:rPr>
          <w:rFonts w:ascii="Arial" w:hAnsi="Arial" w:cs="Arial"/>
          <w:sz w:val="20"/>
          <w:szCs w:val="20"/>
        </w:rPr>
        <w:t>under th</w:t>
      </w:r>
      <w:r w:rsidR="003E1D2A" w:rsidRPr="00E0642C">
        <w:rPr>
          <w:rFonts w:ascii="Arial" w:hAnsi="Arial" w:cs="Arial"/>
          <w:sz w:val="20"/>
          <w:szCs w:val="20"/>
        </w:rPr>
        <w:t xml:space="preserve">e General </w:t>
      </w:r>
      <w:r w:rsidR="00E36423">
        <w:rPr>
          <w:rFonts w:ascii="Arial" w:hAnsi="Arial" w:cs="Arial"/>
          <w:sz w:val="20"/>
          <w:szCs w:val="20"/>
        </w:rPr>
        <w:t>Application</w:t>
      </w:r>
      <w:r w:rsidR="00E36423" w:rsidRPr="00E0642C">
        <w:rPr>
          <w:rFonts w:ascii="Arial" w:hAnsi="Arial" w:cs="Arial"/>
          <w:sz w:val="20"/>
          <w:szCs w:val="20"/>
        </w:rPr>
        <w:t xml:space="preserve"> </w:t>
      </w:r>
      <w:r w:rsidR="003E1D2A" w:rsidRPr="00E0642C">
        <w:rPr>
          <w:rFonts w:ascii="Arial" w:hAnsi="Arial" w:cs="Arial"/>
          <w:sz w:val="20"/>
          <w:szCs w:val="20"/>
        </w:rPr>
        <w:t>“High Bay</w:t>
      </w:r>
      <w:r w:rsidR="00B16195" w:rsidRPr="00E0642C">
        <w:rPr>
          <w:rFonts w:ascii="Arial" w:hAnsi="Arial" w:cs="Arial"/>
          <w:sz w:val="20"/>
          <w:szCs w:val="20"/>
        </w:rPr>
        <w:t>”</w:t>
      </w:r>
      <w:r w:rsidR="001416D1" w:rsidRPr="00E0642C">
        <w:rPr>
          <w:rFonts w:ascii="Arial" w:hAnsi="Arial" w:cs="Arial"/>
          <w:sz w:val="20"/>
          <w:szCs w:val="20"/>
        </w:rPr>
        <w:t xml:space="preserve"> and </w:t>
      </w:r>
      <w:r w:rsidR="00080CC7">
        <w:rPr>
          <w:rFonts w:ascii="Arial" w:hAnsi="Arial" w:cs="Arial"/>
          <w:sz w:val="20"/>
          <w:szCs w:val="20"/>
        </w:rPr>
        <w:t xml:space="preserve">one of the 5 following </w:t>
      </w:r>
      <w:r w:rsidR="001416D1" w:rsidRPr="00E0642C">
        <w:rPr>
          <w:rFonts w:ascii="Arial" w:hAnsi="Arial" w:cs="Arial"/>
          <w:sz w:val="20"/>
          <w:szCs w:val="20"/>
        </w:rPr>
        <w:t>Primary Use Designations</w:t>
      </w:r>
      <w:r w:rsidR="003E1D2A" w:rsidRPr="00E0642C">
        <w:rPr>
          <w:rStyle w:val="EndnoteReference"/>
          <w:rFonts w:ascii="Arial" w:hAnsi="Arial" w:cs="Arial"/>
          <w:b/>
          <w:i/>
          <w:sz w:val="20"/>
          <w:szCs w:val="20"/>
        </w:rPr>
        <w:t xml:space="preserve"> </w:t>
      </w:r>
      <w:r w:rsidR="003E1D2A" w:rsidRPr="00E0642C">
        <w:rPr>
          <w:rStyle w:val="EndnoteReference"/>
          <w:rFonts w:ascii="Arial" w:hAnsi="Arial" w:cs="Arial"/>
          <w:b/>
          <w:i/>
          <w:sz w:val="20"/>
          <w:szCs w:val="20"/>
        </w:rPr>
        <w:endnoteReference w:id="6"/>
      </w:r>
      <w:r w:rsidR="003E1D2A" w:rsidRPr="00E0642C">
        <w:rPr>
          <w:rFonts w:ascii="Arial" w:hAnsi="Arial" w:cs="Arial"/>
          <w:b/>
          <w:sz w:val="20"/>
          <w:szCs w:val="20"/>
        </w:rPr>
        <w:t xml:space="preserve"> </w:t>
      </w:r>
      <w:r w:rsidR="00B3653F">
        <w:rPr>
          <w:rFonts w:ascii="Arial" w:hAnsi="Arial" w:cs="Arial"/>
          <w:b/>
          <w:sz w:val="20"/>
          <w:szCs w:val="20"/>
        </w:rPr>
        <w:t>:</w:t>
      </w:r>
    </w:p>
    <w:p w14:paraId="46BD870E" w14:textId="75E98E2C" w:rsidR="001416D1" w:rsidRPr="00E0642C" w:rsidRDefault="001416D1" w:rsidP="006666F0">
      <w:pPr>
        <w:pStyle w:val="ListParagraph"/>
        <w:numPr>
          <w:ilvl w:val="0"/>
          <w:numId w:val="6"/>
        </w:numPr>
        <w:rPr>
          <w:rFonts w:ascii="Arial" w:hAnsi="Arial" w:cs="Arial"/>
          <w:sz w:val="20"/>
          <w:szCs w:val="20"/>
        </w:rPr>
      </w:pPr>
      <w:r w:rsidRPr="00E0642C">
        <w:rPr>
          <w:rFonts w:ascii="Arial" w:hAnsi="Arial" w:cs="Arial"/>
          <w:sz w:val="20"/>
          <w:szCs w:val="20"/>
        </w:rPr>
        <w:t>High-Bay Aisle Luminaires</w:t>
      </w:r>
    </w:p>
    <w:p w14:paraId="7EF0C604" w14:textId="7C27794C" w:rsidR="001416D1" w:rsidRPr="00E0642C" w:rsidRDefault="001416D1" w:rsidP="006666F0">
      <w:pPr>
        <w:pStyle w:val="ListParagraph"/>
        <w:numPr>
          <w:ilvl w:val="0"/>
          <w:numId w:val="6"/>
        </w:numPr>
        <w:rPr>
          <w:rFonts w:ascii="Arial" w:hAnsi="Arial" w:cs="Arial"/>
          <w:sz w:val="20"/>
          <w:szCs w:val="20"/>
        </w:rPr>
      </w:pPr>
      <w:r w:rsidRPr="00E0642C">
        <w:rPr>
          <w:rFonts w:ascii="Arial" w:hAnsi="Arial" w:cs="Arial"/>
          <w:sz w:val="20"/>
          <w:szCs w:val="20"/>
        </w:rPr>
        <w:t>High-Bay Luminaires for Commercial and Industrial Buildings</w:t>
      </w:r>
    </w:p>
    <w:p w14:paraId="4E6B0EE6" w14:textId="635BAEAB" w:rsidR="001416D1" w:rsidRPr="00E0642C" w:rsidRDefault="001416D1" w:rsidP="006666F0">
      <w:pPr>
        <w:pStyle w:val="ListParagraph"/>
        <w:numPr>
          <w:ilvl w:val="0"/>
          <w:numId w:val="6"/>
        </w:numPr>
        <w:rPr>
          <w:rFonts w:ascii="Arial" w:hAnsi="Arial" w:cs="Arial"/>
          <w:sz w:val="20"/>
          <w:szCs w:val="20"/>
        </w:rPr>
      </w:pPr>
      <w:r w:rsidRPr="00E0642C">
        <w:rPr>
          <w:rFonts w:ascii="Arial" w:hAnsi="Arial" w:cs="Arial"/>
          <w:sz w:val="20"/>
          <w:szCs w:val="20"/>
        </w:rPr>
        <w:t>Low-Bay Luminaires for Commercial and Industrial Buildings</w:t>
      </w:r>
    </w:p>
    <w:p w14:paraId="6DDA1B71" w14:textId="6552FBB3" w:rsidR="001416D1" w:rsidRPr="00E0642C" w:rsidRDefault="001416D1" w:rsidP="006666F0">
      <w:pPr>
        <w:pStyle w:val="ListParagraph"/>
        <w:numPr>
          <w:ilvl w:val="0"/>
          <w:numId w:val="6"/>
        </w:numPr>
        <w:rPr>
          <w:rFonts w:ascii="Arial" w:hAnsi="Arial" w:cs="Arial"/>
          <w:sz w:val="20"/>
          <w:szCs w:val="20"/>
        </w:rPr>
      </w:pPr>
      <w:r w:rsidRPr="00E0642C">
        <w:rPr>
          <w:rFonts w:ascii="Arial" w:hAnsi="Arial" w:cs="Arial"/>
          <w:sz w:val="20"/>
          <w:szCs w:val="20"/>
        </w:rPr>
        <w:t>Retrofit Kits for High-Bay Luminaires for Commercial and Industrial Buildings</w:t>
      </w:r>
    </w:p>
    <w:p w14:paraId="108F523F" w14:textId="157A867F" w:rsidR="001416D1" w:rsidRPr="00E0642C" w:rsidRDefault="001416D1" w:rsidP="006666F0">
      <w:pPr>
        <w:pStyle w:val="ListParagraph"/>
        <w:numPr>
          <w:ilvl w:val="0"/>
          <w:numId w:val="6"/>
        </w:numPr>
        <w:rPr>
          <w:rFonts w:ascii="Arial" w:hAnsi="Arial" w:cs="Arial"/>
          <w:sz w:val="20"/>
          <w:szCs w:val="20"/>
        </w:rPr>
      </w:pPr>
      <w:r w:rsidRPr="00E0642C">
        <w:rPr>
          <w:rFonts w:ascii="Arial" w:hAnsi="Arial" w:cs="Arial"/>
          <w:sz w:val="20"/>
          <w:szCs w:val="20"/>
        </w:rPr>
        <w:t>Retrofit Kits for Low-Bay Luminaires for Commercial and Industrial Buildings</w:t>
      </w:r>
    </w:p>
    <w:p w14:paraId="0B063F87" w14:textId="77777777" w:rsidR="00E07918" w:rsidRPr="00E0642C" w:rsidRDefault="00E07918" w:rsidP="00B16195">
      <w:pPr>
        <w:rPr>
          <w:rFonts w:ascii="Arial" w:hAnsi="Arial" w:cs="Arial"/>
          <w:sz w:val="20"/>
          <w:szCs w:val="20"/>
        </w:rPr>
      </w:pPr>
    </w:p>
    <w:p w14:paraId="069E3EBD" w14:textId="5E8713A3" w:rsidR="008E3605" w:rsidRPr="00E0642C" w:rsidRDefault="00080CC7" w:rsidP="008E3605">
      <w:pPr>
        <w:rPr>
          <w:rFonts w:ascii="Arial" w:hAnsi="Arial" w:cs="Arial"/>
          <w:sz w:val="20"/>
          <w:szCs w:val="20"/>
        </w:rPr>
      </w:pPr>
      <w:r>
        <w:rPr>
          <w:rFonts w:ascii="Arial" w:hAnsi="Arial" w:cs="Arial"/>
          <w:sz w:val="20"/>
          <w:szCs w:val="20"/>
        </w:rPr>
        <w:t xml:space="preserve">Additional Requirements for </w:t>
      </w:r>
      <w:r w:rsidR="008E3605" w:rsidRPr="00E0642C">
        <w:rPr>
          <w:rFonts w:ascii="Arial" w:hAnsi="Arial" w:cs="Arial"/>
          <w:sz w:val="20"/>
          <w:szCs w:val="20"/>
        </w:rPr>
        <w:t xml:space="preserve">DLC Premium </w:t>
      </w:r>
      <w:r>
        <w:rPr>
          <w:rFonts w:ascii="Arial" w:hAnsi="Arial" w:cs="Arial"/>
          <w:sz w:val="20"/>
          <w:szCs w:val="20"/>
        </w:rPr>
        <w:t xml:space="preserve">above the Standard level </w:t>
      </w:r>
      <w:r w:rsidR="008E3605" w:rsidRPr="00E0642C">
        <w:rPr>
          <w:rFonts w:ascii="Arial" w:hAnsi="Arial" w:cs="Arial"/>
          <w:sz w:val="20"/>
          <w:szCs w:val="20"/>
        </w:rPr>
        <w:t>for the high-bay and low-bay categories include:</w:t>
      </w:r>
    </w:p>
    <w:p w14:paraId="552D2B8E" w14:textId="252AA80F" w:rsidR="008E3605" w:rsidRPr="00E0642C" w:rsidRDefault="008E3605" w:rsidP="006666F0">
      <w:pPr>
        <w:pStyle w:val="ListParagraph"/>
        <w:numPr>
          <w:ilvl w:val="0"/>
          <w:numId w:val="3"/>
        </w:numPr>
        <w:rPr>
          <w:rFonts w:ascii="Arial" w:hAnsi="Arial" w:cs="Arial"/>
          <w:sz w:val="20"/>
          <w:szCs w:val="20"/>
        </w:rPr>
      </w:pPr>
      <w:r w:rsidRPr="00E0642C">
        <w:rPr>
          <w:rFonts w:ascii="Arial" w:hAnsi="Arial" w:cs="Arial"/>
          <w:sz w:val="20"/>
          <w:szCs w:val="20"/>
        </w:rPr>
        <w:t>36,000</w:t>
      </w:r>
      <w:r w:rsidR="005649C7" w:rsidRPr="00E0642C">
        <w:rPr>
          <w:rFonts w:ascii="Arial" w:hAnsi="Arial" w:cs="Arial"/>
          <w:sz w:val="20"/>
          <w:szCs w:val="20"/>
        </w:rPr>
        <w:t>-</w:t>
      </w:r>
      <w:r w:rsidRPr="00E0642C">
        <w:rPr>
          <w:rFonts w:ascii="Arial" w:hAnsi="Arial" w:cs="Arial"/>
          <w:sz w:val="20"/>
          <w:szCs w:val="20"/>
        </w:rPr>
        <w:t>hour L</w:t>
      </w:r>
      <w:r w:rsidRPr="00E0642C">
        <w:rPr>
          <w:rFonts w:ascii="Arial" w:hAnsi="Arial" w:cs="Arial"/>
          <w:sz w:val="20"/>
          <w:szCs w:val="20"/>
          <w:vertAlign w:val="subscript"/>
        </w:rPr>
        <w:t>90</w:t>
      </w:r>
      <w:r w:rsidRPr="00E0642C">
        <w:rPr>
          <w:rFonts w:ascii="Arial" w:hAnsi="Arial" w:cs="Arial"/>
          <w:sz w:val="20"/>
          <w:szCs w:val="20"/>
        </w:rPr>
        <w:t xml:space="preserve"> Lumen Maintenance</w:t>
      </w:r>
    </w:p>
    <w:p w14:paraId="54ECAF49" w14:textId="10D4667C" w:rsidR="008E3605" w:rsidRPr="00E0642C" w:rsidRDefault="008E3605" w:rsidP="006666F0">
      <w:pPr>
        <w:pStyle w:val="ListParagraph"/>
        <w:numPr>
          <w:ilvl w:val="0"/>
          <w:numId w:val="3"/>
        </w:numPr>
        <w:rPr>
          <w:rFonts w:ascii="Arial" w:hAnsi="Arial" w:cs="Arial"/>
          <w:sz w:val="20"/>
          <w:szCs w:val="20"/>
        </w:rPr>
      </w:pPr>
      <w:r w:rsidRPr="00E0642C">
        <w:rPr>
          <w:rFonts w:ascii="Arial" w:hAnsi="Arial" w:cs="Arial"/>
          <w:sz w:val="20"/>
          <w:szCs w:val="20"/>
        </w:rPr>
        <w:t>≥ 130 Lumens/Watt (LPW)</w:t>
      </w:r>
      <w:r w:rsidR="00212753" w:rsidRPr="00E0642C">
        <w:rPr>
          <w:rFonts w:ascii="Arial" w:hAnsi="Arial" w:cs="Arial"/>
          <w:sz w:val="20"/>
          <w:szCs w:val="20"/>
        </w:rPr>
        <w:t>*</w:t>
      </w:r>
    </w:p>
    <w:p w14:paraId="0DAE130E" w14:textId="77777777" w:rsidR="00212753" w:rsidRPr="00E0642C" w:rsidRDefault="00212753" w:rsidP="00FF271D">
      <w:pPr>
        <w:rPr>
          <w:rFonts w:ascii="Arial" w:hAnsi="Arial" w:cs="Arial"/>
          <w:sz w:val="20"/>
          <w:szCs w:val="20"/>
        </w:rPr>
      </w:pPr>
      <w:r w:rsidRPr="00E0642C">
        <w:rPr>
          <w:rFonts w:ascii="Arial" w:hAnsi="Arial" w:cs="Arial"/>
          <w:sz w:val="20"/>
          <w:szCs w:val="20"/>
        </w:rPr>
        <w:t>*Specific measure case efficacy requirements listed in measure code descriptions in Table 1.</w:t>
      </w:r>
    </w:p>
    <w:p w14:paraId="5EB998B0" w14:textId="77777777" w:rsidR="00CB4218" w:rsidRPr="00E0642C" w:rsidRDefault="00CB4218" w:rsidP="00CB4218">
      <w:pPr>
        <w:rPr>
          <w:rFonts w:ascii="Arial" w:hAnsi="Arial" w:cs="Arial"/>
          <w:sz w:val="20"/>
          <w:szCs w:val="20"/>
          <w:highlight w:val="yellow"/>
        </w:rPr>
      </w:pPr>
    </w:p>
    <w:p w14:paraId="11238410" w14:textId="77777777" w:rsidR="00CB4218" w:rsidRPr="002B40BA" w:rsidRDefault="00CB4218" w:rsidP="00CB4218">
      <w:pPr>
        <w:ind w:left="360"/>
        <w:rPr>
          <w:rFonts w:ascii="Arial" w:hAnsi="Arial" w:cs="Arial"/>
          <w:b/>
          <w:sz w:val="20"/>
        </w:rPr>
      </w:pPr>
      <w:r w:rsidRPr="002B40BA">
        <w:rPr>
          <w:rFonts w:ascii="Arial" w:hAnsi="Arial" w:cs="Arial"/>
          <w:b/>
          <w:sz w:val="20"/>
        </w:rPr>
        <w:t xml:space="preserve">Terms and Conditions: </w:t>
      </w:r>
    </w:p>
    <w:p w14:paraId="1A8E1169" w14:textId="77777777" w:rsidR="00CB4218" w:rsidRPr="002B40BA" w:rsidRDefault="00CB4218" w:rsidP="00CB4218">
      <w:pPr>
        <w:ind w:left="360"/>
        <w:rPr>
          <w:rFonts w:ascii="Arial" w:hAnsi="Arial" w:cs="Arial"/>
          <w:sz w:val="20"/>
        </w:rPr>
      </w:pPr>
      <w:r w:rsidRPr="002B40BA">
        <w:rPr>
          <w:rFonts w:ascii="Arial" w:hAnsi="Arial" w:cs="Arial"/>
          <w:sz w:val="20"/>
        </w:rPr>
        <w:t xml:space="preserve">The customer must be a non-residential PG&amp;E electric customer. </w:t>
      </w:r>
    </w:p>
    <w:p w14:paraId="573EBA71" w14:textId="77777777" w:rsidR="00D46E0B" w:rsidRPr="002B40BA" w:rsidRDefault="00D46E0B" w:rsidP="00CB4218">
      <w:pPr>
        <w:ind w:left="360"/>
        <w:rPr>
          <w:rFonts w:ascii="Arial" w:hAnsi="Arial" w:cs="Arial"/>
          <w:sz w:val="20"/>
        </w:rPr>
      </w:pPr>
    </w:p>
    <w:p w14:paraId="1C835DF7" w14:textId="77777777" w:rsidR="00CB4218" w:rsidRPr="002B40BA" w:rsidRDefault="00CB4218" w:rsidP="00CB4218">
      <w:pPr>
        <w:ind w:left="360"/>
        <w:rPr>
          <w:rFonts w:ascii="Arial" w:hAnsi="Arial" w:cs="Arial"/>
          <w:b/>
          <w:sz w:val="20"/>
        </w:rPr>
      </w:pPr>
      <w:r w:rsidRPr="002B40BA">
        <w:rPr>
          <w:rFonts w:ascii="Arial" w:hAnsi="Arial" w:cs="Arial"/>
          <w:b/>
          <w:sz w:val="20"/>
        </w:rPr>
        <w:t xml:space="preserve">Market Applicability: </w:t>
      </w:r>
    </w:p>
    <w:p w14:paraId="20743369" w14:textId="7C8C9982" w:rsidR="00CB4218" w:rsidRPr="002B40BA" w:rsidRDefault="00CB4218" w:rsidP="00CB4218">
      <w:pPr>
        <w:ind w:left="360"/>
        <w:rPr>
          <w:rFonts w:ascii="Arial" w:hAnsi="Arial" w:cs="Arial"/>
          <w:sz w:val="20"/>
        </w:rPr>
      </w:pPr>
      <w:r w:rsidRPr="002B40BA">
        <w:rPr>
          <w:rFonts w:ascii="Arial" w:hAnsi="Arial" w:cs="Arial"/>
          <w:sz w:val="20"/>
        </w:rPr>
        <w:t xml:space="preserve">The customer must be a non-residential </w:t>
      </w:r>
      <w:r w:rsidR="00D46E0B" w:rsidRPr="002B40BA">
        <w:rPr>
          <w:rFonts w:ascii="Arial" w:hAnsi="Arial" w:cs="Arial"/>
          <w:sz w:val="20"/>
        </w:rPr>
        <w:t>PG&amp;E electric customer.</w:t>
      </w:r>
    </w:p>
    <w:p w14:paraId="1C46B2AF" w14:textId="49A9F3E4" w:rsidR="00521920" w:rsidRPr="00C10056" w:rsidRDefault="00806070" w:rsidP="00C8399F">
      <w:pPr>
        <w:pStyle w:val="Heading2"/>
      </w:pPr>
      <w:bookmarkStart w:id="25" w:name="_Toc511038027"/>
      <w:bookmarkStart w:id="26" w:name="_Toc2804900"/>
      <w:bookmarkEnd w:id="20"/>
      <w:r w:rsidRPr="00764855">
        <w:t xml:space="preserve">1.2 </w:t>
      </w:r>
      <w:r w:rsidR="00521920" w:rsidRPr="00764855">
        <w:t>Technical Description</w:t>
      </w:r>
      <w:bookmarkEnd w:id="25"/>
      <w:bookmarkEnd w:id="26"/>
    </w:p>
    <w:p w14:paraId="224A500A" w14:textId="3F7FDDE4" w:rsidR="005B7851" w:rsidRDefault="005B7851" w:rsidP="005B7851">
      <w:pPr>
        <w:autoSpaceDE w:val="0"/>
        <w:autoSpaceDN w:val="0"/>
        <w:rPr>
          <w:rFonts w:ascii="Arial" w:hAnsi="Arial" w:cs="Arial"/>
          <w:sz w:val="20"/>
          <w:szCs w:val="20"/>
        </w:rPr>
      </w:pPr>
      <w:r>
        <w:rPr>
          <w:rFonts w:ascii="Arial" w:hAnsi="Arial" w:cs="Arial"/>
          <w:sz w:val="20"/>
          <w:szCs w:val="20"/>
        </w:rPr>
        <w:t xml:space="preserve">The following is a short excerpt from the </w:t>
      </w:r>
      <w:proofErr w:type="spellStart"/>
      <w:r>
        <w:rPr>
          <w:rFonts w:ascii="Arial" w:hAnsi="Arial" w:cs="Arial"/>
          <w:sz w:val="20"/>
          <w:szCs w:val="20"/>
        </w:rPr>
        <w:t>CALiPER</w:t>
      </w:r>
      <w:proofErr w:type="spellEnd"/>
      <w:r>
        <w:rPr>
          <w:rFonts w:ascii="Arial" w:hAnsi="Arial" w:cs="Arial"/>
          <w:sz w:val="20"/>
          <w:szCs w:val="20"/>
        </w:rPr>
        <w:t xml:space="preserve"> Snapshot for Industrial Luminaires</w:t>
      </w:r>
      <w:bookmarkStart w:id="27" w:name="_Ref511241687"/>
      <w:r w:rsidR="009842A2">
        <w:rPr>
          <w:rStyle w:val="EndnoteReference"/>
          <w:rFonts w:ascii="Arial" w:hAnsi="Arial" w:cs="Arial"/>
          <w:sz w:val="20"/>
          <w:szCs w:val="20"/>
        </w:rPr>
        <w:endnoteReference w:id="7"/>
      </w:r>
      <w:bookmarkEnd w:id="27"/>
      <w:r>
        <w:rPr>
          <w:rFonts w:ascii="Arial" w:hAnsi="Arial" w:cs="Arial"/>
          <w:sz w:val="20"/>
          <w:szCs w:val="20"/>
        </w:rPr>
        <w:t xml:space="preserve"> that gives a high-level overview:</w:t>
      </w:r>
    </w:p>
    <w:p w14:paraId="3F540CA8" w14:textId="51110B16" w:rsidR="005B7851" w:rsidRPr="00813AEE" w:rsidRDefault="007B048A" w:rsidP="007B048A">
      <w:pPr>
        <w:autoSpaceDE w:val="0"/>
        <w:autoSpaceDN w:val="0"/>
        <w:spacing w:before="120"/>
        <w:ind w:left="720" w:right="1166"/>
        <w:jc w:val="both"/>
        <w:rPr>
          <w:rFonts w:ascii="Arial" w:hAnsi="Arial" w:cs="Arial"/>
          <w:i/>
          <w:iCs/>
          <w:sz w:val="20"/>
          <w:szCs w:val="20"/>
        </w:rPr>
      </w:pPr>
      <w:r>
        <w:rPr>
          <w:rFonts w:ascii="Arial" w:hAnsi="Arial" w:cs="Arial"/>
          <w:i/>
          <w:iCs/>
          <w:sz w:val="20"/>
          <w:szCs w:val="20"/>
        </w:rPr>
        <w:t xml:space="preserve"> </w:t>
      </w:r>
      <w:r w:rsidR="005B7851">
        <w:rPr>
          <w:rFonts w:ascii="Arial" w:hAnsi="Arial" w:cs="Arial"/>
          <w:i/>
          <w:iCs/>
          <w:sz w:val="20"/>
          <w:szCs w:val="20"/>
        </w:rPr>
        <w:t>“Industrial” luminaires are prevalent in both the commercial and industrial sectors, providing economical ambient lighting in large, open indoor spaces such as warehouses, manufacturing facilities, and big-box retail stores.  Industrial luminaires are divided into two categories: low-bay and high-bay. Typically, low-bay fixtures are used for heights up to 20 feet, whereas high-bay fixtures are used where ceilings exceed 20 feet. Given the space demands, high-lumen-output luminaires are required, with low-bay options typically emitting between 5,000 and 20,000 lumens per fixture and high-bay options emitting between 15,000 and 100,000 lumens per fixture.</w:t>
      </w:r>
    </w:p>
    <w:p w14:paraId="13273085" w14:textId="77777777" w:rsidR="00C6795B" w:rsidRDefault="00C6795B" w:rsidP="005B7851">
      <w:pPr>
        <w:autoSpaceDE w:val="0"/>
        <w:autoSpaceDN w:val="0"/>
        <w:rPr>
          <w:rFonts w:ascii="Arial" w:hAnsi="Arial" w:cs="Arial"/>
          <w:sz w:val="20"/>
          <w:szCs w:val="20"/>
        </w:rPr>
      </w:pPr>
    </w:p>
    <w:p w14:paraId="16766665" w14:textId="10F6D0F2" w:rsidR="005B7851" w:rsidRDefault="005B7851" w:rsidP="005B7851">
      <w:pPr>
        <w:autoSpaceDE w:val="0"/>
        <w:autoSpaceDN w:val="0"/>
        <w:rPr>
          <w:rFonts w:ascii="Arial" w:hAnsi="Arial" w:cs="Arial"/>
          <w:sz w:val="20"/>
          <w:szCs w:val="20"/>
        </w:rPr>
      </w:pPr>
      <w:r>
        <w:rPr>
          <w:rFonts w:ascii="Arial" w:hAnsi="Arial" w:cs="Arial"/>
          <w:sz w:val="20"/>
          <w:szCs w:val="20"/>
        </w:rPr>
        <w:t>Historically</w:t>
      </w:r>
      <w:r w:rsidR="005C283E">
        <w:rPr>
          <w:rFonts w:ascii="Arial" w:hAnsi="Arial" w:cs="Arial"/>
          <w:sz w:val="20"/>
          <w:szCs w:val="20"/>
        </w:rPr>
        <w:t>,</w:t>
      </w:r>
      <w:r>
        <w:rPr>
          <w:rFonts w:ascii="Arial" w:hAnsi="Arial" w:cs="Arial"/>
          <w:sz w:val="20"/>
          <w:szCs w:val="20"/>
        </w:rPr>
        <w:t xml:space="preserve"> high-bay fixtures have used high-intensity discharge (HID) lamps (e.g., metal halide and high-pressure sodium) as the predominant light source, and low-bay fixtures have traditionally used both HID and fluorescent light source. Linear fluorescent high-output systems (e.g. T5/HO or F32T8 with VHLO ballasts) </w:t>
      </w:r>
      <w:r w:rsidR="00B770C7">
        <w:rPr>
          <w:rFonts w:ascii="Arial" w:hAnsi="Arial" w:cs="Arial"/>
          <w:sz w:val="20"/>
          <w:szCs w:val="20"/>
        </w:rPr>
        <w:t>became</w:t>
      </w:r>
      <w:r>
        <w:rPr>
          <w:rFonts w:ascii="Arial" w:hAnsi="Arial" w:cs="Arial"/>
          <w:sz w:val="20"/>
          <w:szCs w:val="20"/>
        </w:rPr>
        <w:t xml:space="preserve"> a popular energy-efficiency measure in the early 2000’s for both high and low bay fixtures</w:t>
      </w:r>
      <w:r w:rsidR="005C283E">
        <w:rPr>
          <w:rFonts w:ascii="Arial" w:hAnsi="Arial" w:cs="Arial"/>
          <w:sz w:val="20"/>
          <w:szCs w:val="20"/>
        </w:rPr>
        <w:t xml:space="preserve"> </w:t>
      </w:r>
      <w:r w:rsidR="00B770C7">
        <w:rPr>
          <w:rFonts w:ascii="Arial" w:hAnsi="Arial" w:cs="Arial"/>
          <w:sz w:val="20"/>
          <w:szCs w:val="20"/>
        </w:rPr>
        <w:t>due to their superior lumen maintenance, lack of restrike delay, and ability to switch with occupancy sensors.</w:t>
      </w:r>
    </w:p>
    <w:p w14:paraId="5742F09B" w14:textId="77777777" w:rsidR="005B7851" w:rsidRDefault="005B7851" w:rsidP="005B7851">
      <w:pPr>
        <w:autoSpaceDE w:val="0"/>
        <w:autoSpaceDN w:val="0"/>
        <w:rPr>
          <w:rFonts w:ascii="Arial" w:hAnsi="Arial" w:cs="Arial"/>
          <w:sz w:val="20"/>
          <w:szCs w:val="20"/>
        </w:rPr>
      </w:pPr>
    </w:p>
    <w:p w14:paraId="3E1541D3" w14:textId="61FE4F91" w:rsidR="005B7851" w:rsidRDefault="005B7851" w:rsidP="005B7851">
      <w:pPr>
        <w:autoSpaceDE w:val="0"/>
        <w:autoSpaceDN w:val="0"/>
        <w:rPr>
          <w:rFonts w:ascii="Arial" w:hAnsi="Arial" w:cs="Arial"/>
          <w:sz w:val="20"/>
          <w:szCs w:val="20"/>
        </w:rPr>
      </w:pPr>
      <w:r>
        <w:rPr>
          <w:rFonts w:ascii="Arial" w:hAnsi="Arial" w:cs="Arial"/>
          <w:sz w:val="20"/>
          <w:szCs w:val="20"/>
        </w:rPr>
        <w:t>Light emitting diode</w:t>
      </w:r>
      <w:r w:rsidR="00B770C7">
        <w:rPr>
          <w:rFonts w:ascii="Arial" w:hAnsi="Arial" w:cs="Arial"/>
          <w:sz w:val="20"/>
          <w:szCs w:val="20"/>
        </w:rPr>
        <w:t>s</w:t>
      </w:r>
      <w:r>
        <w:rPr>
          <w:rFonts w:ascii="Arial" w:hAnsi="Arial" w:cs="Arial"/>
          <w:sz w:val="20"/>
          <w:szCs w:val="20"/>
        </w:rPr>
        <w:t xml:space="preserve"> (LED</w:t>
      </w:r>
      <w:r w:rsidR="00B770C7">
        <w:rPr>
          <w:rFonts w:ascii="Arial" w:hAnsi="Arial" w:cs="Arial"/>
          <w:sz w:val="20"/>
          <w:szCs w:val="20"/>
        </w:rPr>
        <w:t>s</w:t>
      </w:r>
      <w:r>
        <w:rPr>
          <w:rFonts w:ascii="Arial" w:hAnsi="Arial" w:cs="Arial"/>
          <w:sz w:val="20"/>
          <w:szCs w:val="20"/>
        </w:rPr>
        <w:t>) first entered this market circa 2009 but early-generation LED high-bay luminaires lacked the lumen output to compete in the market.  LED</w:t>
      </w:r>
      <w:r w:rsidR="00B770C7">
        <w:rPr>
          <w:rFonts w:ascii="Arial" w:hAnsi="Arial" w:cs="Arial"/>
          <w:sz w:val="20"/>
          <w:szCs w:val="20"/>
        </w:rPr>
        <w:t>s</w:t>
      </w:r>
      <w:r>
        <w:rPr>
          <w:rFonts w:ascii="Arial" w:hAnsi="Arial" w:cs="Arial"/>
          <w:sz w:val="20"/>
          <w:szCs w:val="20"/>
        </w:rPr>
        <w:t xml:space="preserve"> ha</w:t>
      </w:r>
      <w:r w:rsidR="009A078C">
        <w:rPr>
          <w:rFonts w:ascii="Arial" w:hAnsi="Arial" w:cs="Arial"/>
          <w:sz w:val="20"/>
          <w:szCs w:val="20"/>
        </w:rPr>
        <w:t>ve</w:t>
      </w:r>
      <w:r>
        <w:rPr>
          <w:rFonts w:ascii="Arial" w:hAnsi="Arial" w:cs="Arial"/>
          <w:sz w:val="20"/>
          <w:szCs w:val="20"/>
        </w:rPr>
        <w:t xml:space="preserve"> since improved significantly making them an efficient and reliable lighting technology successfully replacing many lighting sources. Improvements in LED performance, makes LED </w:t>
      </w:r>
      <w:r w:rsidR="00A86ABD">
        <w:rPr>
          <w:rFonts w:ascii="Arial" w:hAnsi="Arial" w:cs="Arial"/>
          <w:sz w:val="20"/>
          <w:szCs w:val="20"/>
        </w:rPr>
        <w:t xml:space="preserve">fixtures and retrofit kits </w:t>
      </w:r>
      <w:r>
        <w:rPr>
          <w:rFonts w:ascii="Arial" w:hAnsi="Arial" w:cs="Arial"/>
          <w:sz w:val="20"/>
          <w:szCs w:val="20"/>
        </w:rPr>
        <w:t>an ideal replacement of HID</w:t>
      </w:r>
      <w:r w:rsidR="009A078C">
        <w:rPr>
          <w:rFonts w:ascii="Arial" w:hAnsi="Arial" w:cs="Arial"/>
          <w:sz w:val="20"/>
          <w:szCs w:val="20"/>
        </w:rPr>
        <w:t xml:space="preserve"> and fluorescent</w:t>
      </w:r>
      <w:r>
        <w:rPr>
          <w:rFonts w:ascii="Arial" w:hAnsi="Arial" w:cs="Arial"/>
          <w:sz w:val="20"/>
          <w:szCs w:val="20"/>
        </w:rPr>
        <w:t xml:space="preserve"> light</w:t>
      </w:r>
      <w:r w:rsidR="009A078C">
        <w:rPr>
          <w:rFonts w:ascii="Arial" w:hAnsi="Arial" w:cs="Arial"/>
          <w:sz w:val="20"/>
          <w:szCs w:val="20"/>
        </w:rPr>
        <w:t xml:space="preserve"> fixture</w:t>
      </w:r>
      <w:r>
        <w:rPr>
          <w:rFonts w:ascii="Arial" w:hAnsi="Arial" w:cs="Arial"/>
          <w:sz w:val="20"/>
          <w:szCs w:val="20"/>
        </w:rPr>
        <w:t xml:space="preserve">s. </w:t>
      </w:r>
    </w:p>
    <w:p w14:paraId="45D0603D" w14:textId="77777777" w:rsidR="00080CC7" w:rsidRDefault="00080CC7" w:rsidP="005B7851">
      <w:pPr>
        <w:autoSpaceDE w:val="0"/>
        <w:autoSpaceDN w:val="0"/>
        <w:rPr>
          <w:rFonts w:ascii="Arial" w:hAnsi="Arial" w:cs="Arial"/>
          <w:sz w:val="20"/>
          <w:szCs w:val="20"/>
        </w:rPr>
      </w:pPr>
    </w:p>
    <w:p w14:paraId="03AA4A1A" w14:textId="4A6A681F" w:rsidR="005B7851" w:rsidRDefault="009A078C" w:rsidP="005B7851">
      <w:pPr>
        <w:autoSpaceDE w:val="0"/>
        <w:autoSpaceDN w:val="0"/>
        <w:rPr>
          <w:rFonts w:ascii="Arial" w:hAnsi="Arial" w:cs="Arial"/>
          <w:sz w:val="20"/>
          <w:szCs w:val="20"/>
        </w:rPr>
      </w:pPr>
      <w:r>
        <w:rPr>
          <w:rFonts w:ascii="Arial" w:hAnsi="Arial" w:cs="Arial"/>
          <w:sz w:val="20"/>
          <w:szCs w:val="20"/>
        </w:rPr>
        <w:t xml:space="preserve">Though only 6% of all industrial luminaire installations were LED in 2015, </w:t>
      </w:r>
      <w:r w:rsidR="00B770C7">
        <w:rPr>
          <w:rFonts w:ascii="Arial" w:hAnsi="Arial" w:cs="Arial"/>
          <w:sz w:val="20"/>
          <w:szCs w:val="20"/>
        </w:rPr>
        <w:t>market penetration is expected to grow to 86% by 2035</w:t>
      </w:r>
      <w:r w:rsidR="007B0C19" w:rsidRPr="007B0C19">
        <w:rPr>
          <w:rFonts w:ascii="Arial" w:hAnsi="Arial" w:cs="Arial"/>
          <w:sz w:val="20"/>
          <w:szCs w:val="20"/>
          <w:vertAlign w:val="superscript"/>
        </w:rPr>
        <w:fldChar w:fldCharType="begin"/>
      </w:r>
      <w:r w:rsidR="007B0C19" w:rsidRPr="007B0C19">
        <w:rPr>
          <w:rFonts w:ascii="Arial" w:hAnsi="Arial" w:cs="Arial"/>
          <w:sz w:val="20"/>
          <w:szCs w:val="20"/>
          <w:vertAlign w:val="superscript"/>
        </w:rPr>
        <w:instrText xml:space="preserve"> NOTEREF _Ref511241687 \h </w:instrText>
      </w:r>
      <w:r w:rsidR="007B0C19">
        <w:rPr>
          <w:rFonts w:ascii="Arial" w:hAnsi="Arial" w:cs="Arial"/>
          <w:sz w:val="20"/>
          <w:szCs w:val="20"/>
          <w:vertAlign w:val="superscript"/>
        </w:rPr>
        <w:instrText xml:space="preserve"> \* MERGEFORMAT </w:instrText>
      </w:r>
      <w:r w:rsidR="007B0C19" w:rsidRPr="007B0C19">
        <w:rPr>
          <w:rFonts w:ascii="Arial" w:hAnsi="Arial" w:cs="Arial"/>
          <w:sz w:val="20"/>
          <w:szCs w:val="20"/>
          <w:vertAlign w:val="superscript"/>
        </w:rPr>
      </w:r>
      <w:r w:rsidR="007B0C19" w:rsidRPr="007B0C19">
        <w:rPr>
          <w:rFonts w:ascii="Arial" w:hAnsi="Arial" w:cs="Arial"/>
          <w:sz w:val="20"/>
          <w:szCs w:val="20"/>
          <w:vertAlign w:val="superscript"/>
        </w:rPr>
        <w:fldChar w:fldCharType="separate"/>
      </w:r>
      <w:r w:rsidR="007803A1">
        <w:rPr>
          <w:rFonts w:ascii="Arial" w:hAnsi="Arial" w:cs="Arial"/>
          <w:sz w:val="20"/>
          <w:szCs w:val="20"/>
          <w:vertAlign w:val="superscript"/>
        </w:rPr>
        <w:t>4</w:t>
      </w:r>
      <w:r w:rsidR="007B0C19" w:rsidRPr="007B0C19">
        <w:rPr>
          <w:rFonts w:ascii="Arial" w:hAnsi="Arial" w:cs="Arial"/>
          <w:sz w:val="20"/>
          <w:szCs w:val="20"/>
          <w:vertAlign w:val="superscript"/>
        </w:rPr>
        <w:fldChar w:fldCharType="end"/>
      </w:r>
      <w:r w:rsidR="00B770C7">
        <w:rPr>
          <w:rFonts w:ascii="Arial" w:hAnsi="Arial" w:cs="Arial"/>
          <w:sz w:val="20"/>
          <w:szCs w:val="20"/>
        </w:rPr>
        <w:t xml:space="preserve">. </w:t>
      </w:r>
      <w:r w:rsidR="005B7851">
        <w:rPr>
          <w:rFonts w:ascii="Arial" w:hAnsi="Arial" w:cs="Arial"/>
          <w:sz w:val="20"/>
          <w:szCs w:val="20"/>
        </w:rPr>
        <w:t>According to LED Lighting Facts, by 2014</w:t>
      </w:r>
      <w:r w:rsidR="002F3250">
        <w:rPr>
          <w:rFonts w:ascii="Arial" w:hAnsi="Arial" w:cs="Arial"/>
          <w:sz w:val="20"/>
          <w:szCs w:val="20"/>
        </w:rPr>
        <w:t>,</w:t>
      </w:r>
      <w:r w:rsidR="005B7851">
        <w:rPr>
          <w:rFonts w:ascii="Arial" w:hAnsi="Arial" w:cs="Arial"/>
          <w:sz w:val="20"/>
          <w:szCs w:val="20"/>
        </w:rPr>
        <w:t xml:space="preserve"> LED efficacy </w:t>
      </w:r>
      <w:r>
        <w:rPr>
          <w:rFonts w:ascii="Arial" w:hAnsi="Arial" w:cs="Arial"/>
          <w:sz w:val="20"/>
          <w:szCs w:val="20"/>
        </w:rPr>
        <w:t xml:space="preserve">had </w:t>
      </w:r>
      <w:r w:rsidR="005B7851">
        <w:rPr>
          <w:rFonts w:ascii="Arial" w:hAnsi="Arial" w:cs="Arial"/>
          <w:sz w:val="20"/>
          <w:szCs w:val="20"/>
        </w:rPr>
        <w:t xml:space="preserve">surpassed the HID and fluorescent technology with very competitive pricing.  LED Lighting Facts lists more than </w:t>
      </w:r>
      <w:r w:rsidR="00C91686">
        <w:rPr>
          <w:rFonts w:ascii="Arial" w:hAnsi="Arial" w:cs="Arial"/>
          <w:sz w:val="20"/>
          <w:szCs w:val="20"/>
        </w:rPr>
        <w:t>12</w:t>
      </w:r>
      <w:r w:rsidR="005B7851">
        <w:rPr>
          <w:rFonts w:ascii="Arial" w:hAnsi="Arial" w:cs="Arial"/>
          <w:sz w:val="20"/>
          <w:szCs w:val="20"/>
        </w:rPr>
        <w:t>,000 industrial products,</w:t>
      </w:r>
      <w:r w:rsidR="003863C4">
        <w:rPr>
          <w:rFonts w:ascii="Arial" w:hAnsi="Arial" w:cs="Arial"/>
          <w:sz w:val="20"/>
          <w:szCs w:val="20"/>
        </w:rPr>
        <w:t xml:space="preserve"> and</w:t>
      </w:r>
      <w:r w:rsidR="005B7851">
        <w:rPr>
          <w:rFonts w:ascii="Arial" w:hAnsi="Arial" w:cs="Arial"/>
          <w:sz w:val="20"/>
          <w:szCs w:val="20"/>
        </w:rPr>
        <w:t> </w:t>
      </w:r>
      <w:r w:rsidR="003863C4">
        <w:rPr>
          <w:rFonts w:ascii="Arial" w:hAnsi="Arial" w:cs="Arial"/>
          <w:sz w:val="20"/>
          <w:szCs w:val="20"/>
        </w:rPr>
        <w:t>a</w:t>
      </w:r>
      <w:r w:rsidR="005B7851">
        <w:rPr>
          <w:rFonts w:ascii="Arial" w:hAnsi="Arial" w:cs="Arial"/>
          <w:sz w:val="20"/>
          <w:szCs w:val="20"/>
        </w:rPr>
        <w:t xml:space="preserve"> majority of listed industrial fixtures have comparable lumen output and higher luminous efficacy than their metal halide and fluorescent counterparts. </w:t>
      </w:r>
      <w:r w:rsidR="004915B9">
        <w:rPr>
          <w:rFonts w:ascii="Arial" w:hAnsi="Arial" w:cs="Arial"/>
          <w:sz w:val="20"/>
          <w:szCs w:val="20"/>
        </w:rPr>
        <w:t>I</w:t>
      </w:r>
      <w:r w:rsidR="00B770C7">
        <w:rPr>
          <w:rFonts w:ascii="Arial" w:hAnsi="Arial" w:cs="Arial"/>
          <w:sz w:val="20"/>
          <w:szCs w:val="20"/>
        </w:rPr>
        <w:t xml:space="preserve">n terms of color quality and power quality, LED industrial fixtures almost all offer </w:t>
      </w:r>
      <w:r w:rsidR="004915B9">
        <w:rPr>
          <w:rFonts w:ascii="Arial" w:hAnsi="Arial" w:cs="Arial"/>
          <w:sz w:val="20"/>
          <w:szCs w:val="20"/>
        </w:rPr>
        <w:t>improved</w:t>
      </w:r>
      <w:r w:rsidR="00B770C7">
        <w:rPr>
          <w:rFonts w:ascii="Arial" w:hAnsi="Arial" w:cs="Arial"/>
          <w:sz w:val="20"/>
          <w:szCs w:val="20"/>
        </w:rPr>
        <w:t xml:space="preserve"> performance </w:t>
      </w:r>
      <w:r w:rsidR="004915B9">
        <w:rPr>
          <w:rFonts w:ascii="Arial" w:hAnsi="Arial" w:cs="Arial"/>
          <w:sz w:val="20"/>
          <w:szCs w:val="20"/>
        </w:rPr>
        <w:t xml:space="preserve">compared to </w:t>
      </w:r>
      <w:r w:rsidR="00B770C7">
        <w:rPr>
          <w:rFonts w:ascii="Arial" w:hAnsi="Arial" w:cs="Arial"/>
          <w:sz w:val="20"/>
          <w:szCs w:val="20"/>
        </w:rPr>
        <w:t xml:space="preserve">their metal halide </w:t>
      </w:r>
      <w:r w:rsidR="004915B9">
        <w:rPr>
          <w:rFonts w:ascii="Arial" w:hAnsi="Arial" w:cs="Arial"/>
          <w:sz w:val="20"/>
          <w:szCs w:val="20"/>
        </w:rPr>
        <w:t xml:space="preserve">equivalents, </w:t>
      </w:r>
      <w:r w:rsidR="00B770C7">
        <w:rPr>
          <w:rFonts w:ascii="Arial" w:hAnsi="Arial" w:cs="Arial"/>
          <w:sz w:val="20"/>
          <w:szCs w:val="20"/>
        </w:rPr>
        <w:t xml:space="preserve">and </w:t>
      </w:r>
      <w:r w:rsidR="004915B9">
        <w:rPr>
          <w:rFonts w:ascii="Arial" w:hAnsi="Arial" w:cs="Arial"/>
          <w:sz w:val="20"/>
          <w:szCs w:val="20"/>
        </w:rPr>
        <w:t xml:space="preserve">comparable performance to their </w:t>
      </w:r>
      <w:r w:rsidR="00B770C7">
        <w:rPr>
          <w:rFonts w:ascii="Arial" w:hAnsi="Arial" w:cs="Arial"/>
          <w:sz w:val="20"/>
          <w:szCs w:val="20"/>
        </w:rPr>
        <w:t>fluorescent counterparts.</w:t>
      </w:r>
      <w:r w:rsidR="00CC3ABC">
        <w:rPr>
          <w:rFonts w:ascii="Arial" w:hAnsi="Arial" w:cs="Arial"/>
          <w:sz w:val="20"/>
          <w:szCs w:val="20"/>
        </w:rPr>
        <w:t>”</w:t>
      </w:r>
    </w:p>
    <w:p w14:paraId="36E98A0F" w14:textId="77777777" w:rsidR="005B7851" w:rsidRDefault="005B7851" w:rsidP="005B7851">
      <w:pPr>
        <w:autoSpaceDE w:val="0"/>
        <w:autoSpaceDN w:val="0"/>
        <w:rPr>
          <w:rFonts w:ascii="Arial" w:hAnsi="Arial" w:cs="Arial"/>
          <w:sz w:val="20"/>
          <w:szCs w:val="20"/>
        </w:rPr>
      </w:pPr>
    </w:p>
    <w:p w14:paraId="38622748" w14:textId="5C943BF3" w:rsidR="005B7851" w:rsidRDefault="005B7851" w:rsidP="005B7851">
      <w:pPr>
        <w:autoSpaceDE w:val="0"/>
        <w:autoSpaceDN w:val="0"/>
        <w:rPr>
          <w:rFonts w:ascii="Arial" w:hAnsi="Arial" w:cs="Arial"/>
          <w:sz w:val="20"/>
          <w:szCs w:val="20"/>
        </w:rPr>
      </w:pPr>
      <w:r>
        <w:rPr>
          <w:rFonts w:ascii="Arial" w:hAnsi="Arial" w:cs="Arial"/>
          <w:sz w:val="20"/>
          <w:szCs w:val="20"/>
        </w:rPr>
        <w:t xml:space="preserve">LED fixtures under this workpaper are assigned a measure code according to </w:t>
      </w:r>
      <w:r w:rsidR="009A078C">
        <w:rPr>
          <w:rFonts w:ascii="Arial" w:hAnsi="Arial" w:cs="Arial"/>
          <w:sz w:val="20"/>
          <w:szCs w:val="20"/>
        </w:rPr>
        <w:t xml:space="preserve">efficacy and </w:t>
      </w:r>
      <w:r w:rsidR="002F3250">
        <w:rPr>
          <w:rFonts w:ascii="Arial" w:hAnsi="Arial" w:cs="Arial"/>
          <w:sz w:val="20"/>
          <w:szCs w:val="20"/>
        </w:rPr>
        <w:t>lumens</w:t>
      </w:r>
      <w:r>
        <w:rPr>
          <w:rFonts w:ascii="Arial" w:hAnsi="Arial" w:cs="Arial"/>
          <w:sz w:val="20"/>
          <w:szCs w:val="20"/>
        </w:rPr>
        <w:t>, which describes the energy savings associated with their replacement of linear fluorescent fixtures</w:t>
      </w:r>
      <w:r w:rsidR="009A078C">
        <w:rPr>
          <w:rFonts w:ascii="Arial" w:hAnsi="Arial" w:cs="Arial"/>
          <w:sz w:val="20"/>
          <w:szCs w:val="20"/>
        </w:rPr>
        <w:t xml:space="preserve"> and less efficient LED fixtures</w:t>
      </w:r>
      <w:r>
        <w:rPr>
          <w:rFonts w:ascii="Arial" w:hAnsi="Arial" w:cs="Arial"/>
          <w:sz w:val="20"/>
          <w:szCs w:val="20"/>
        </w:rPr>
        <w:t>.</w:t>
      </w:r>
      <w:r w:rsidR="007176A8">
        <w:rPr>
          <w:rFonts w:ascii="Arial" w:hAnsi="Arial" w:cs="Arial"/>
          <w:sz w:val="20"/>
          <w:szCs w:val="20"/>
        </w:rPr>
        <w:t xml:space="preserve"> </w:t>
      </w:r>
    </w:p>
    <w:p w14:paraId="70744751" w14:textId="1E39625A" w:rsidR="00FA5F99" w:rsidRPr="00746B00" w:rsidRDefault="009C5CA7" w:rsidP="00FA5F99">
      <w:pPr>
        <w:pStyle w:val="Heading2"/>
      </w:pPr>
      <w:bookmarkStart w:id="28" w:name="_Toc511038028"/>
      <w:bookmarkStart w:id="29" w:name="_Toc2804901"/>
      <w:r>
        <w:lastRenderedPageBreak/>
        <w:t>1.</w:t>
      </w:r>
      <w:r w:rsidR="00806070">
        <w:t>3</w:t>
      </w:r>
      <w:r>
        <w:t xml:space="preserve"> </w:t>
      </w:r>
      <w:r w:rsidR="00FD6117">
        <w:t>Installation Types and Delivery Mechanisms</w:t>
      </w:r>
      <w:bookmarkEnd w:id="28"/>
      <w:bookmarkEnd w:id="29"/>
    </w:p>
    <w:p w14:paraId="64A2698B" w14:textId="0672BF1D" w:rsidR="00573960" w:rsidRPr="005E4E31" w:rsidRDefault="00573960" w:rsidP="00FA5F99">
      <w:pPr>
        <w:rPr>
          <w:rFonts w:ascii="Arial" w:hAnsi="Arial" w:cs="Arial"/>
          <w:sz w:val="20"/>
        </w:rPr>
      </w:pPr>
      <w:r w:rsidRPr="005E4E31">
        <w:rPr>
          <w:rFonts w:ascii="Arial" w:hAnsi="Arial" w:cs="Arial"/>
          <w:sz w:val="20"/>
        </w:rPr>
        <w:t>The Database for Energy Efficiency Resources (DEER) developed by the California Public Utilities Commission defines the measure application t</w:t>
      </w:r>
      <w:r w:rsidR="00A55DE2">
        <w:rPr>
          <w:rFonts w:ascii="Arial" w:hAnsi="Arial" w:cs="Arial"/>
          <w:sz w:val="20"/>
        </w:rPr>
        <w:t>ype as shown in the table below:</w:t>
      </w:r>
    </w:p>
    <w:p w14:paraId="3C77AAC5" w14:textId="77777777" w:rsidR="00573960" w:rsidRDefault="00573960" w:rsidP="00FA5F99">
      <w:pPr>
        <w:rPr>
          <w:rFonts w:cs="Arial"/>
          <w:sz w:val="20"/>
          <w:szCs w:val="20"/>
        </w:rPr>
      </w:pPr>
    </w:p>
    <w:p w14:paraId="3BFF760B" w14:textId="2211D202" w:rsidR="00FA5F99" w:rsidRPr="00746B00" w:rsidRDefault="00FA5F99" w:rsidP="007B2DD3">
      <w:pPr>
        <w:pStyle w:val="Caption"/>
        <w:keepNext/>
        <w:jc w:val="center"/>
        <w:rPr>
          <w:rFonts w:ascii="Arial" w:hAnsi="Arial" w:cs="Arial"/>
          <w:sz w:val="26"/>
          <w:szCs w:val="26"/>
        </w:rPr>
      </w:pPr>
      <w:bookmarkStart w:id="30" w:name="_Toc324427642"/>
      <w:bookmarkStart w:id="31" w:name="_Toc383697824"/>
      <w:bookmarkStart w:id="32" w:name="_Toc511038006"/>
      <w:bookmarkStart w:id="33" w:name="_Toc511244267"/>
      <w:bookmarkStart w:id="34" w:name="_Toc511244292"/>
      <w:bookmarkStart w:id="35" w:name="_Toc2804934"/>
      <w:r w:rsidRPr="00C924AA">
        <w:t xml:space="preserve">Table </w:t>
      </w:r>
      <w:fldSimple w:instr=" SEQ Table \* ARABIC ">
        <w:r w:rsidR="002505EA">
          <w:rPr>
            <w:noProof/>
          </w:rPr>
          <w:t>2</w:t>
        </w:r>
      </w:fldSimple>
      <w:bookmarkStart w:id="36" w:name="RANGE!B222"/>
      <w:r w:rsidR="007042ED">
        <w:t xml:space="preserve"> </w:t>
      </w:r>
      <w:r w:rsidRPr="00C924AA">
        <w:t>Measure Application Type</w:t>
      </w:r>
      <w:bookmarkEnd w:id="30"/>
      <w:bookmarkEnd w:id="36"/>
      <w:r w:rsidRPr="00746B00">
        <w:rPr>
          <w:rStyle w:val="EndnoteReference"/>
          <w:rFonts w:ascii="Arial" w:hAnsi="Arial" w:cs="Arial"/>
        </w:rPr>
        <w:endnoteReference w:id="8"/>
      </w:r>
      <w:bookmarkEnd w:id="31"/>
      <w:bookmarkEnd w:id="32"/>
      <w:bookmarkEnd w:id="33"/>
      <w:bookmarkEnd w:id="34"/>
      <w:bookmarkEnd w:id="35"/>
    </w:p>
    <w:tbl>
      <w:tblPr>
        <w:tblW w:w="9090" w:type="dxa"/>
        <w:tblInd w:w="108" w:type="dxa"/>
        <w:tblLook w:val="04A0" w:firstRow="1" w:lastRow="0" w:firstColumn="1" w:lastColumn="0" w:noHBand="0" w:noVBand="1"/>
      </w:tblPr>
      <w:tblGrid>
        <w:gridCol w:w="900"/>
        <w:gridCol w:w="2610"/>
        <w:gridCol w:w="5580"/>
      </w:tblGrid>
      <w:tr w:rsidR="00FA5F99" w:rsidRPr="009842A2" w14:paraId="609B0DFC" w14:textId="77777777" w:rsidTr="00E35C1C">
        <w:trPr>
          <w:trHeight w:val="315"/>
        </w:trPr>
        <w:tc>
          <w:tcPr>
            <w:tcW w:w="900" w:type="dxa"/>
            <w:tcBorders>
              <w:top w:val="single" w:sz="4" w:space="0" w:color="auto"/>
              <w:left w:val="single" w:sz="4" w:space="0" w:color="auto"/>
              <w:bottom w:val="single" w:sz="8" w:space="0" w:color="auto"/>
              <w:right w:val="nil"/>
            </w:tcBorders>
            <w:shd w:val="clear" w:color="auto" w:fill="D9D9D9"/>
            <w:noWrap/>
            <w:vAlign w:val="bottom"/>
            <w:hideMark/>
          </w:tcPr>
          <w:p w14:paraId="12C719AD" w14:textId="77777777" w:rsidR="00FA5F99" w:rsidRPr="009842A2" w:rsidRDefault="00FA5F99" w:rsidP="005C7190">
            <w:pPr>
              <w:keepNext/>
              <w:rPr>
                <w:rFonts w:ascii="Arial" w:hAnsi="Arial" w:cs="Arial"/>
                <w:b/>
                <w:color w:val="000000"/>
                <w:szCs w:val="22"/>
              </w:rPr>
            </w:pPr>
            <w:r w:rsidRPr="00E35C1C">
              <w:rPr>
                <w:rFonts w:ascii="Arial" w:hAnsi="Arial"/>
                <w:b/>
                <w:color w:val="000000"/>
              </w:rPr>
              <w:t>Code</w:t>
            </w:r>
          </w:p>
        </w:tc>
        <w:tc>
          <w:tcPr>
            <w:tcW w:w="2610" w:type="dxa"/>
            <w:tcBorders>
              <w:top w:val="single" w:sz="4" w:space="0" w:color="auto"/>
              <w:left w:val="nil"/>
              <w:bottom w:val="single" w:sz="8" w:space="0" w:color="auto"/>
              <w:right w:val="nil"/>
            </w:tcBorders>
            <w:shd w:val="clear" w:color="auto" w:fill="D9D9D9"/>
            <w:noWrap/>
            <w:vAlign w:val="bottom"/>
            <w:hideMark/>
          </w:tcPr>
          <w:p w14:paraId="7B30C73A" w14:textId="77777777" w:rsidR="00FA5F99" w:rsidRPr="009842A2" w:rsidRDefault="00FA5F99" w:rsidP="005C7190">
            <w:pPr>
              <w:keepNext/>
              <w:rPr>
                <w:rFonts w:ascii="Arial" w:hAnsi="Arial" w:cs="Arial"/>
                <w:b/>
                <w:color w:val="000000"/>
                <w:szCs w:val="22"/>
              </w:rPr>
            </w:pPr>
            <w:r w:rsidRPr="00E35C1C">
              <w:rPr>
                <w:rFonts w:ascii="Arial" w:hAnsi="Arial"/>
                <w:b/>
                <w:color w:val="000000"/>
              </w:rPr>
              <w:t>Description</w:t>
            </w:r>
          </w:p>
        </w:tc>
        <w:tc>
          <w:tcPr>
            <w:tcW w:w="5580" w:type="dxa"/>
            <w:tcBorders>
              <w:top w:val="single" w:sz="4" w:space="0" w:color="auto"/>
              <w:left w:val="nil"/>
              <w:bottom w:val="single" w:sz="8" w:space="0" w:color="auto"/>
              <w:right w:val="single" w:sz="4" w:space="0" w:color="auto"/>
            </w:tcBorders>
            <w:shd w:val="clear" w:color="auto" w:fill="D9D9D9"/>
            <w:noWrap/>
            <w:vAlign w:val="bottom"/>
            <w:hideMark/>
          </w:tcPr>
          <w:p w14:paraId="195803EB" w14:textId="77777777" w:rsidR="00FA5F99" w:rsidRPr="009842A2" w:rsidRDefault="00FA5F99" w:rsidP="005C7190">
            <w:pPr>
              <w:keepNext/>
              <w:rPr>
                <w:rFonts w:ascii="Arial" w:hAnsi="Arial" w:cs="Arial"/>
                <w:b/>
                <w:color w:val="000000"/>
                <w:szCs w:val="22"/>
              </w:rPr>
            </w:pPr>
            <w:r w:rsidRPr="00E35C1C">
              <w:rPr>
                <w:rFonts w:ascii="Arial" w:hAnsi="Arial"/>
                <w:b/>
                <w:color w:val="000000"/>
              </w:rPr>
              <w:t>Comment</w:t>
            </w:r>
          </w:p>
        </w:tc>
      </w:tr>
      <w:tr w:rsidR="00FA5F99" w:rsidRPr="009842A2" w14:paraId="4F507125" w14:textId="77777777" w:rsidTr="005C7190">
        <w:trPr>
          <w:trHeight w:val="600"/>
        </w:trPr>
        <w:tc>
          <w:tcPr>
            <w:tcW w:w="900" w:type="dxa"/>
            <w:tcBorders>
              <w:top w:val="nil"/>
              <w:left w:val="single" w:sz="4" w:space="0" w:color="auto"/>
              <w:bottom w:val="nil"/>
              <w:right w:val="nil"/>
            </w:tcBorders>
            <w:shd w:val="clear" w:color="auto" w:fill="auto"/>
            <w:noWrap/>
            <w:vAlign w:val="center"/>
            <w:hideMark/>
          </w:tcPr>
          <w:p w14:paraId="4D6C5DBE" w14:textId="1223FE96" w:rsidR="00FA5F99" w:rsidRPr="009842A2" w:rsidRDefault="007176A8" w:rsidP="005C7190">
            <w:pPr>
              <w:keepNext/>
              <w:rPr>
                <w:rFonts w:ascii="Arial" w:hAnsi="Arial" w:cs="Arial"/>
                <w:i/>
                <w:sz w:val="20"/>
                <w:szCs w:val="20"/>
              </w:rPr>
            </w:pPr>
            <w:r>
              <w:rPr>
                <w:rFonts w:ascii="Arial" w:hAnsi="Arial" w:cs="Arial"/>
                <w:i/>
                <w:sz w:val="20"/>
                <w:szCs w:val="20"/>
              </w:rPr>
              <w:t>NR</w:t>
            </w:r>
          </w:p>
        </w:tc>
        <w:tc>
          <w:tcPr>
            <w:tcW w:w="2610" w:type="dxa"/>
            <w:tcBorders>
              <w:top w:val="nil"/>
              <w:left w:val="nil"/>
              <w:bottom w:val="nil"/>
              <w:right w:val="nil"/>
            </w:tcBorders>
            <w:shd w:val="clear" w:color="auto" w:fill="auto"/>
            <w:noWrap/>
            <w:vAlign w:val="center"/>
            <w:hideMark/>
          </w:tcPr>
          <w:p w14:paraId="51551F75" w14:textId="0C6B55BC" w:rsidR="00FA5F99" w:rsidRPr="009842A2" w:rsidRDefault="007176A8" w:rsidP="005C7190">
            <w:pPr>
              <w:keepNext/>
              <w:rPr>
                <w:rFonts w:ascii="Arial" w:hAnsi="Arial" w:cs="Arial"/>
                <w:i/>
                <w:sz w:val="20"/>
                <w:szCs w:val="20"/>
              </w:rPr>
            </w:pPr>
            <w:r>
              <w:rPr>
                <w:rFonts w:ascii="Arial" w:hAnsi="Arial" w:cs="Arial"/>
                <w:i/>
                <w:sz w:val="20"/>
                <w:szCs w:val="20"/>
              </w:rPr>
              <w:t>Normal Replacement</w:t>
            </w:r>
          </w:p>
        </w:tc>
        <w:tc>
          <w:tcPr>
            <w:tcW w:w="5580" w:type="dxa"/>
            <w:tcBorders>
              <w:top w:val="nil"/>
              <w:left w:val="nil"/>
              <w:bottom w:val="nil"/>
              <w:right w:val="single" w:sz="4" w:space="0" w:color="auto"/>
            </w:tcBorders>
            <w:shd w:val="clear" w:color="auto" w:fill="auto"/>
            <w:vAlign w:val="center"/>
            <w:hideMark/>
          </w:tcPr>
          <w:p w14:paraId="49A4B8C0" w14:textId="77777777" w:rsidR="00FA5F99" w:rsidRPr="009842A2" w:rsidRDefault="00FA5F99" w:rsidP="005C7190">
            <w:pPr>
              <w:keepNext/>
              <w:rPr>
                <w:rFonts w:ascii="Arial" w:hAnsi="Arial" w:cs="Arial"/>
                <w:i/>
                <w:sz w:val="20"/>
                <w:szCs w:val="20"/>
              </w:rPr>
            </w:pPr>
            <w:r w:rsidRPr="009842A2">
              <w:rPr>
                <w:rFonts w:ascii="Arial" w:hAnsi="Arial" w:cs="Arial"/>
                <w:i/>
                <w:sz w:val="20"/>
                <w:szCs w:val="20"/>
              </w:rPr>
              <w:t>measure applied when existing equipment fails or maintenance requires replacement</w:t>
            </w:r>
          </w:p>
        </w:tc>
      </w:tr>
      <w:tr w:rsidR="00FA5F99" w:rsidRPr="002E0F0A" w14:paraId="6D7B583D" w14:textId="77777777" w:rsidTr="00F8595C">
        <w:trPr>
          <w:trHeight w:val="600"/>
        </w:trPr>
        <w:tc>
          <w:tcPr>
            <w:tcW w:w="900" w:type="dxa"/>
            <w:tcBorders>
              <w:top w:val="nil"/>
              <w:left w:val="single" w:sz="4" w:space="0" w:color="auto"/>
              <w:bottom w:val="nil"/>
              <w:right w:val="nil"/>
            </w:tcBorders>
            <w:shd w:val="clear" w:color="auto" w:fill="auto"/>
            <w:noWrap/>
            <w:vAlign w:val="center"/>
            <w:hideMark/>
          </w:tcPr>
          <w:p w14:paraId="5C1178A6" w14:textId="77777777" w:rsidR="00FA5F99" w:rsidRPr="009842A2" w:rsidRDefault="00FA5F99" w:rsidP="005C7190">
            <w:pPr>
              <w:rPr>
                <w:rFonts w:ascii="Arial" w:hAnsi="Arial" w:cs="Arial"/>
                <w:i/>
                <w:sz w:val="20"/>
                <w:szCs w:val="20"/>
              </w:rPr>
            </w:pPr>
            <w:r w:rsidRPr="009842A2">
              <w:rPr>
                <w:rFonts w:ascii="Arial" w:hAnsi="Arial" w:cs="Arial"/>
                <w:i/>
                <w:sz w:val="20"/>
                <w:szCs w:val="20"/>
              </w:rPr>
              <w:t>NC</w:t>
            </w:r>
          </w:p>
        </w:tc>
        <w:tc>
          <w:tcPr>
            <w:tcW w:w="2610" w:type="dxa"/>
            <w:tcBorders>
              <w:top w:val="nil"/>
              <w:left w:val="nil"/>
              <w:bottom w:val="nil"/>
              <w:right w:val="nil"/>
            </w:tcBorders>
            <w:shd w:val="clear" w:color="auto" w:fill="auto"/>
            <w:noWrap/>
            <w:vAlign w:val="center"/>
            <w:hideMark/>
          </w:tcPr>
          <w:p w14:paraId="254E5AD6" w14:textId="77777777" w:rsidR="00FA5F99" w:rsidRPr="009842A2" w:rsidRDefault="00FA5F99" w:rsidP="005C7190">
            <w:pPr>
              <w:rPr>
                <w:rFonts w:ascii="Arial" w:hAnsi="Arial" w:cs="Arial"/>
                <w:i/>
                <w:sz w:val="20"/>
                <w:szCs w:val="20"/>
              </w:rPr>
            </w:pPr>
            <w:r w:rsidRPr="009842A2">
              <w:rPr>
                <w:rFonts w:ascii="Arial" w:hAnsi="Arial" w:cs="Arial"/>
                <w:i/>
                <w:sz w:val="20"/>
                <w:szCs w:val="20"/>
              </w:rPr>
              <w:t>New Construction</w:t>
            </w:r>
          </w:p>
        </w:tc>
        <w:tc>
          <w:tcPr>
            <w:tcW w:w="5580" w:type="dxa"/>
            <w:tcBorders>
              <w:top w:val="nil"/>
              <w:left w:val="nil"/>
              <w:bottom w:val="nil"/>
              <w:right w:val="single" w:sz="4" w:space="0" w:color="auto"/>
            </w:tcBorders>
            <w:shd w:val="clear" w:color="auto" w:fill="auto"/>
            <w:vAlign w:val="center"/>
            <w:hideMark/>
          </w:tcPr>
          <w:p w14:paraId="49FF981C" w14:textId="77777777" w:rsidR="00FA5F99" w:rsidRPr="009842A2" w:rsidRDefault="00FA5F99" w:rsidP="005C7190">
            <w:pPr>
              <w:rPr>
                <w:rFonts w:ascii="Arial" w:hAnsi="Arial" w:cs="Arial"/>
                <w:i/>
                <w:sz w:val="20"/>
                <w:szCs w:val="20"/>
              </w:rPr>
            </w:pPr>
            <w:r w:rsidRPr="009842A2">
              <w:rPr>
                <w:rFonts w:ascii="Arial" w:hAnsi="Arial" w:cs="Arial"/>
                <w:i/>
                <w:sz w:val="20"/>
                <w:szCs w:val="20"/>
              </w:rPr>
              <w:t>measure applied during construction design phase as an alternative to a code-compliant standard design</w:t>
            </w:r>
          </w:p>
        </w:tc>
      </w:tr>
      <w:tr w:rsidR="0054428F" w:rsidRPr="002E0F0A" w14:paraId="2B3535CB" w14:textId="77777777" w:rsidTr="00A243C3">
        <w:trPr>
          <w:trHeight w:val="207"/>
        </w:trPr>
        <w:tc>
          <w:tcPr>
            <w:tcW w:w="900" w:type="dxa"/>
            <w:tcBorders>
              <w:top w:val="nil"/>
              <w:left w:val="single" w:sz="4" w:space="0" w:color="auto"/>
              <w:bottom w:val="single" w:sz="4" w:space="0" w:color="auto"/>
              <w:right w:val="nil"/>
            </w:tcBorders>
            <w:shd w:val="clear" w:color="auto" w:fill="auto"/>
            <w:noWrap/>
            <w:vAlign w:val="center"/>
          </w:tcPr>
          <w:p w14:paraId="65F0D629" w14:textId="77777777" w:rsidR="0054428F" w:rsidRPr="009842A2" w:rsidRDefault="0054428F" w:rsidP="005C7190">
            <w:pPr>
              <w:rPr>
                <w:rFonts w:ascii="Arial" w:hAnsi="Arial" w:cs="Arial"/>
                <w:i/>
                <w:sz w:val="20"/>
                <w:szCs w:val="20"/>
              </w:rPr>
            </w:pPr>
          </w:p>
        </w:tc>
        <w:tc>
          <w:tcPr>
            <w:tcW w:w="2610" w:type="dxa"/>
            <w:tcBorders>
              <w:top w:val="nil"/>
              <w:left w:val="nil"/>
              <w:bottom w:val="single" w:sz="4" w:space="0" w:color="auto"/>
              <w:right w:val="nil"/>
            </w:tcBorders>
            <w:shd w:val="clear" w:color="auto" w:fill="auto"/>
            <w:noWrap/>
            <w:vAlign w:val="center"/>
          </w:tcPr>
          <w:p w14:paraId="6354D323" w14:textId="77777777" w:rsidR="0054428F" w:rsidRPr="009842A2" w:rsidRDefault="0054428F" w:rsidP="005C7190">
            <w:pPr>
              <w:rPr>
                <w:rFonts w:ascii="Arial" w:hAnsi="Arial" w:cs="Arial"/>
                <w:i/>
                <w:sz w:val="20"/>
                <w:szCs w:val="20"/>
              </w:rPr>
            </w:pPr>
          </w:p>
        </w:tc>
        <w:tc>
          <w:tcPr>
            <w:tcW w:w="5580" w:type="dxa"/>
            <w:tcBorders>
              <w:top w:val="nil"/>
              <w:left w:val="nil"/>
              <w:bottom w:val="single" w:sz="4" w:space="0" w:color="auto"/>
              <w:right w:val="single" w:sz="4" w:space="0" w:color="auto"/>
            </w:tcBorders>
            <w:shd w:val="clear" w:color="auto" w:fill="auto"/>
            <w:vAlign w:val="center"/>
          </w:tcPr>
          <w:p w14:paraId="4834C34D" w14:textId="77777777" w:rsidR="0054428F" w:rsidRPr="009842A2" w:rsidRDefault="0054428F" w:rsidP="005C7190">
            <w:pPr>
              <w:rPr>
                <w:rFonts w:ascii="Arial" w:hAnsi="Arial" w:cs="Arial"/>
                <w:i/>
                <w:sz w:val="20"/>
                <w:szCs w:val="20"/>
              </w:rPr>
            </w:pPr>
          </w:p>
        </w:tc>
      </w:tr>
    </w:tbl>
    <w:p w14:paraId="587F6636" w14:textId="4B34BAC4" w:rsidR="00E36423" w:rsidRDefault="00897D86" w:rsidP="007B2DD3">
      <w:pPr>
        <w:pStyle w:val="Caption"/>
        <w:keepNext/>
        <w:jc w:val="center"/>
      </w:pPr>
      <w:r>
        <w:rPr>
          <w:rFonts w:ascii="Arial" w:hAnsi="Arial" w:cs="Arial"/>
        </w:rPr>
        <w:t>All the measures within this workpaper are calculated for NR.</w:t>
      </w:r>
      <w:bookmarkStart w:id="37" w:name="_Ref510127887"/>
      <w:bookmarkStart w:id="38" w:name="_Toc511038007"/>
      <w:bookmarkStart w:id="39" w:name="_Toc511244268"/>
      <w:bookmarkStart w:id="40" w:name="_Toc511244293"/>
    </w:p>
    <w:bookmarkEnd w:id="37"/>
    <w:bookmarkEnd w:id="38"/>
    <w:bookmarkEnd w:id="39"/>
    <w:bookmarkEnd w:id="40"/>
    <w:p w14:paraId="6A2460BC" w14:textId="47B1196A" w:rsidR="00866854" w:rsidRPr="00E0642C" w:rsidRDefault="00866854" w:rsidP="00FA5F99">
      <w:pPr>
        <w:rPr>
          <w:rFonts w:ascii="Arial" w:hAnsi="Arial" w:cs="Arial"/>
          <w:sz w:val="20"/>
          <w:szCs w:val="20"/>
        </w:rPr>
      </w:pPr>
    </w:p>
    <w:p w14:paraId="67DAA968" w14:textId="7CAB7019" w:rsidR="00813AEE" w:rsidRDefault="00F060F2" w:rsidP="00FA5F99">
      <w:pPr>
        <w:rPr>
          <w:rFonts w:ascii="Arial" w:hAnsi="Arial" w:cs="Arial"/>
          <w:sz w:val="20"/>
          <w:szCs w:val="20"/>
        </w:rPr>
      </w:pPr>
      <w:bookmarkStart w:id="41" w:name="_Hlk533783715"/>
      <w:r>
        <w:rPr>
          <w:rFonts w:ascii="Arial" w:hAnsi="Arial" w:cs="Arial"/>
          <w:sz w:val="20"/>
          <w:szCs w:val="20"/>
        </w:rPr>
        <w:t>T</w:t>
      </w:r>
      <w:r w:rsidR="00866854" w:rsidRPr="00E0642C">
        <w:rPr>
          <w:rFonts w:ascii="Arial" w:hAnsi="Arial" w:cs="Arial"/>
          <w:sz w:val="20"/>
          <w:szCs w:val="20"/>
        </w:rPr>
        <w:t xml:space="preserve">he workpaper supports Programs with a downstream and direct install delivery channel with </w:t>
      </w:r>
      <w:r w:rsidR="00436AF7">
        <w:rPr>
          <w:rFonts w:ascii="Arial" w:hAnsi="Arial" w:cs="Arial"/>
          <w:sz w:val="20"/>
          <w:szCs w:val="20"/>
        </w:rPr>
        <w:t>normal replacement</w:t>
      </w:r>
      <w:r w:rsidR="00866854" w:rsidRPr="00E0642C">
        <w:rPr>
          <w:rFonts w:ascii="Arial" w:hAnsi="Arial" w:cs="Arial"/>
          <w:sz w:val="20"/>
          <w:szCs w:val="20"/>
        </w:rPr>
        <w:t xml:space="preserve"> application types.  There are p</w:t>
      </w:r>
      <w:r w:rsidR="000D06CE" w:rsidRPr="00E0642C">
        <w:rPr>
          <w:rFonts w:ascii="Arial" w:hAnsi="Arial" w:cs="Arial"/>
          <w:sz w:val="20"/>
          <w:szCs w:val="20"/>
        </w:rPr>
        <w:t>otential p</w:t>
      </w:r>
      <w:r w:rsidR="00866854" w:rsidRPr="00E0642C">
        <w:rPr>
          <w:rFonts w:ascii="Arial" w:hAnsi="Arial" w:cs="Arial"/>
          <w:sz w:val="20"/>
          <w:szCs w:val="20"/>
        </w:rPr>
        <w:t xml:space="preserve">lans for </w:t>
      </w:r>
      <w:r w:rsidR="005649C7" w:rsidRPr="00E0642C">
        <w:rPr>
          <w:rFonts w:ascii="Arial" w:hAnsi="Arial" w:cs="Arial"/>
          <w:sz w:val="20"/>
          <w:szCs w:val="20"/>
        </w:rPr>
        <w:t>a</w:t>
      </w:r>
      <w:r w:rsidR="00866854" w:rsidRPr="00E0642C">
        <w:rPr>
          <w:rFonts w:ascii="Arial" w:hAnsi="Arial" w:cs="Arial"/>
          <w:sz w:val="20"/>
          <w:szCs w:val="20"/>
        </w:rPr>
        <w:t xml:space="preserve"> </w:t>
      </w:r>
      <w:r w:rsidR="002A19D4" w:rsidRPr="00E0642C">
        <w:rPr>
          <w:rFonts w:ascii="Arial" w:hAnsi="Arial" w:cs="Arial"/>
          <w:sz w:val="20"/>
          <w:szCs w:val="20"/>
        </w:rPr>
        <w:t>midstream</w:t>
      </w:r>
      <w:r w:rsidR="00866854" w:rsidRPr="00E0642C">
        <w:rPr>
          <w:rFonts w:ascii="Arial" w:hAnsi="Arial" w:cs="Arial"/>
          <w:sz w:val="20"/>
          <w:szCs w:val="20"/>
        </w:rPr>
        <w:t xml:space="preserve"> expansion</w:t>
      </w:r>
      <w:r w:rsidR="000D06CE" w:rsidRPr="00E0642C">
        <w:rPr>
          <w:rFonts w:ascii="Arial" w:hAnsi="Arial" w:cs="Arial"/>
          <w:sz w:val="20"/>
          <w:szCs w:val="20"/>
        </w:rPr>
        <w:t xml:space="preserve"> in the future.</w:t>
      </w:r>
    </w:p>
    <w:p w14:paraId="1F419444" w14:textId="77777777" w:rsidR="00AC3944" w:rsidRPr="00E0642C" w:rsidRDefault="00AC3944" w:rsidP="00FA5F99">
      <w:pPr>
        <w:rPr>
          <w:rFonts w:ascii="Arial" w:hAnsi="Arial" w:cs="Arial"/>
          <w:sz w:val="20"/>
          <w:szCs w:val="20"/>
        </w:rPr>
      </w:pPr>
    </w:p>
    <w:p w14:paraId="4B027E61" w14:textId="393A02DD" w:rsidR="00FD6117" w:rsidRDefault="00FD6117" w:rsidP="007B2DD3">
      <w:pPr>
        <w:pStyle w:val="Caption"/>
        <w:keepNext/>
        <w:jc w:val="center"/>
      </w:pPr>
      <w:bookmarkStart w:id="42" w:name="_Toc511038008"/>
      <w:bookmarkStart w:id="43" w:name="_Toc511244269"/>
      <w:bookmarkStart w:id="44" w:name="_Toc511244294"/>
      <w:bookmarkStart w:id="45" w:name="_Toc2804935"/>
      <w:bookmarkEnd w:id="41"/>
      <w:r>
        <w:t xml:space="preserve">Table </w:t>
      </w:r>
      <w:fldSimple w:instr=" SEQ Table \* ARABIC ">
        <w:r w:rsidR="00E36423">
          <w:rPr>
            <w:noProof/>
          </w:rPr>
          <w:t>3</w:t>
        </w:r>
      </w:fldSimple>
      <w:r w:rsidR="007042ED">
        <w:t xml:space="preserve"> </w:t>
      </w:r>
      <w:r>
        <w:t>Delivery Method and Applicable Building Types</w:t>
      </w:r>
      <w:bookmarkEnd w:id="42"/>
      <w:bookmarkEnd w:id="43"/>
      <w:bookmarkEnd w:id="44"/>
      <w:bookmarkEnd w:id="4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5400"/>
        <w:gridCol w:w="2178"/>
      </w:tblGrid>
      <w:tr w:rsidR="009F14ED" w:rsidRPr="00E24055" w14:paraId="709F69D6" w14:textId="77777777" w:rsidTr="00E35C1C">
        <w:trPr>
          <w:jc w:val="center"/>
        </w:trPr>
        <w:tc>
          <w:tcPr>
            <w:tcW w:w="1998" w:type="dxa"/>
            <w:shd w:val="clear" w:color="auto" w:fill="D9D9D9"/>
            <w:vAlign w:val="center"/>
          </w:tcPr>
          <w:p w14:paraId="39B73537" w14:textId="77777777" w:rsidR="00FD6117" w:rsidRPr="00E35C1C" w:rsidRDefault="00FD6117" w:rsidP="00A43F43">
            <w:pPr>
              <w:rPr>
                <w:rFonts w:ascii="Arial" w:hAnsi="Arial" w:cs="Arial"/>
                <w:b/>
                <w:sz w:val="20"/>
                <w:szCs w:val="20"/>
              </w:rPr>
            </w:pPr>
            <w:r w:rsidRPr="00E35C1C">
              <w:rPr>
                <w:rFonts w:ascii="Arial" w:hAnsi="Arial" w:cs="Arial"/>
                <w:b/>
                <w:sz w:val="20"/>
                <w:szCs w:val="20"/>
              </w:rPr>
              <w:t>Delivery Type</w:t>
            </w:r>
          </w:p>
        </w:tc>
        <w:tc>
          <w:tcPr>
            <w:tcW w:w="5400" w:type="dxa"/>
            <w:shd w:val="clear" w:color="auto" w:fill="D9D9D9"/>
            <w:vAlign w:val="center"/>
          </w:tcPr>
          <w:p w14:paraId="448160FD" w14:textId="77777777" w:rsidR="00FD6117" w:rsidRPr="00E35C1C" w:rsidRDefault="00FD6117" w:rsidP="00A43F43">
            <w:pPr>
              <w:rPr>
                <w:rFonts w:ascii="Arial" w:hAnsi="Arial" w:cs="Arial"/>
                <w:b/>
                <w:sz w:val="20"/>
                <w:szCs w:val="20"/>
              </w:rPr>
            </w:pPr>
            <w:r w:rsidRPr="00E35C1C">
              <w:rPr>
                <w:rFonts w:ascii="Arial" w:hAnsi="Arial" w:cs="Arial"/>
                <w:b/>
                <w:sz w:val="20"/>
                <w:szCs w:val="20"/>
              </w:rPr>
              <w:t>Applicable Building Types</w:t>
            </w:r>
          </w:p>
        </w:tc>
        <w:tc>
          <w:tcPr>
            <w:tcW w:w="2178" w:type="dxa"/>
            <w:shd w:val="clear" w:color="auto" w:fill="D9D9D9"/>
            <w:vAlign w:val="center"/>
          </w:tcPr>
          <w:p w14:paraId="327293DE" w14:textId="77777777" w:rsidR="00FD6117" w:rsidRPr="00E35C1C" w:rsidRDefault="00FD6117" w:rsidP="00A43F43">
            <w:pPr>
              <w:rPr>
                <w:rFonts w:ascii="Arial" w:hAnsi="Arial" w:cs="Arial"/>
                <w:b/>
                <w:sz w:val="20"/>
                <w:szCs w:val="20"/>
              </w:rPr>
            </w:pPr>
            <w:r w:rsidRPr="00E35C1C">
              <w:rPr>
                <w:rFonts w:ascii="Arial" w:hAnsi="Arial" w:cs="Arial"/>
                <w:b/>
                <w:sz w:val="20"/>
                <w:szCs w:val="20"/>
              </w:rPr>
              <w:t>Application Type</w:t>
            </w:r>
          </w:p>
        </w:tc>
      </w:tr>
      <w:tr w:rsidR="00FD6117" w14:paraId="47D58F7B" w14:textId="77777777" w:rsidTr="00E35C1C">
        <w:trPr>
          <w:jc w:val="center"/>
        </w:trPr>
        <w:tc>
          <w:tcPr>
            <w:tcW w:w="1998" w:type="dxa"/>
            <w:shd w:val="clear" w:color="auto" w:fill="auto"/>
            <w:vAlign w:val="center"/>
          </w:tcPr>
          <w:p w14:paraId="2EAC2DCE" w14:textId="70C3185D" w:rsidR="00FD6117" w:rsidRPr="00E35C1C" w:rsidRDefault="007B0C19" w:rsidP="00A43F43">
            <w:pPr>
              <w:rPr>
                <w:rFonts w:ascii="Arial" w:hAnsi="Arial" w:cs="Arial"/>
                <w:sz w:val="20"/>
                <w:szCs w:val="20"/>
              </w:rPr>
            </w:pPr>
            <w:r w:rsidRPr="00E35C1C">
              <w:rPr>
                <w:rFonts w:ascii="Arial" w:hAnsi="Arial" w:cs="Arial"/>
                <w:sz w:val="20"/>
                <w:szCs w:val="20"/>
              </w:rPr>
              <w:t>Downstream, Mid</w:t>
            </w:r>
            <w:r w:rsidR="00FD6117" w:rsidRPr="00E35C1C">
              <w:rPr>
                <w:rFonts w:ascii="Arial" w:hAnsi="Arial" w:cs="Arial"/>
                <w:sz w:val="20"/>
                <w:szCs w:val="20"/>
              </w:rPr>
              <w:t>stream, &amp; Direct Install</w:t>
            </w:r>
          </w:p>
        </w:tc>
        <w:tc>
          <w:tcPr>
            <w:tcW w:w="5400" w:type="dxa"/>
            <w:shd w:val="clear" w:color="auto" w:fill="auto"/>
            <w:vAlign w:val="center"/>
          </w:tcPr>
          <w:p w14:paraId="1E660371" w14:textId="77777777" w:rsidR="00FD6117" w:rsidRPr="00E35C1C" w:rsidRDefault="00FD6117" w:rsidP="00A43F43">
            <w:pPr>
              <w:rPr>
                <w:rFonts w:ascii="Arial" w:hAnsi="Arial" w:cs="Arial"/>
                <w:sz w:val="20"/>
                <w:szCs w:val="20"/>
              </w:rPr>
            </w:pPr>
            <w:r w:rsidRPr="00E35C1C">
              <w:rPr>
                <w:rFonts w:ascii="Arial" w:hAnsi="Arial" w:cs="Arial"/>
                <w:sz w:val="20"/>
                <w:szCs w:val="20"/>
              </w:rPr>
              <w:t>DEER Building Types</w:t>
            </w:r>
          </w:p>
        </w:tc>
        <w:tc>
          <w:tcPr>
            <w:tcW w:w="2178" w:type="dxa"/>
            <w:shd w:val="clear" w:color="auto" w:fill="auto"/>
            <w:vAlign w:val="center"/>
          </w:tcPr>
          <w:p w14:paraId="4A9EC417" w14:textId="5335B4AD" w:rsidR="00FD6117" w:rsidRPr="00E35C1C" w:rsidRDefault="00436AF7" w:rsidP="00AC3944">
            <w:pPr>
              <w:rPr>
                <w:rFonts w:ascii="Arial" w:hAnsi="Arial" w:cs="Arial"/>
                <w:sz w:val="20"/>
                <w:szCs w:val="20"/>
              </w:rPr>
            </w:pPr>
            <w:r w:rsidRPr="00E35C1C">
              <w:rPr>
                <w:rFonts w:ascii="Arial" w:hAnsi="Arial" w:cs="Arial"/>
                <w:sz w:val="20"/>
                <w:szCs w:val="20"/>
              </w:rPr>
              <w:t>NR</w:t>
            </w:r>
          </w:p>
        </w:tc>
      </w:tr>
    </w:tbl>
    <w:p w14:paraId="73AD7E67" w14:textId="001AFD67" w:rsidR="00706B82" w:rsidRDefault="00706B82" w:rsidP="00706B82">
      <w:pPr>
        <w:pStyle w:val="Heading2"/>
        <w:keepNext w:val="0"/>
      </w:pPr>
      <w:bookmarkStart w:id="46" w:name="_Toc511038029"/>
      <w:bookmarkStart w:id="47" w:name="_Toc2804902"/>
      <w:r>
        <w:t xml:space="preserve">1.4 </w:t>
      </w:r>
      <w:bookmarkEnd w:id="46"/>
      <w:r w:rsidR="00897D86">
        <w:t>Product Base Case and Measure Data</w:t>
      </w:r>
      <w:bookmarkEnd w:id="47"/>
    </w:p>
    <w:p w14:paraId="61D72FC6" w14:textId="76FDD240" w:rsidR="00706B82" w:rsidRPr="00582636" w:rsidRDefault="00706B82" w:rsidP="00C57883">
      <w:pPr>
        <w:tabs>
          <w:tab w:val="left" w:pos="1440"/>
        </w:tabs>
        <w:rPr>
          <w:rFonts w:ascii="Arial" w:hAnsi="Arial" w:cs="Arial"/>
          <w:sz w:val="20"/>
          <w:szCs w:val="20"/>
        </w:rPr>
      </w:pPr>
      <w:r w:rsidRPr="00582636">
        <w:rPr>
          <w:rFonts w:ascii="Arial" w:hAnsi="Arial" w:cs="Arial"/>
          <w:sz w:val="20"/>
          <w:szCs w:val="20"/>
        </w:rPr>
        <w:t xml:space="preserve">The </w:t>
      </w:r>
      <w:r w:rsidR="002A165B" w:rsidRPr="00582636">
        <w:rPr>
          <w:rFonts w:ascii="Arial" w:hAnsi="Arial" w:cs="Arial"/>
          <w:sz w:val="20"/>
          <w:szCs w:val="20"/>
        </w:rPr>
        <w:t xml:space="preserve">measure parameters are defined by </w:t>
      </w:r>
      <w:r w:rsidR="004D7F6F">
        <w:rPr>
          <w:rFonts w:ascii="Arial" w:hAnsi="Arial" w:cs="Arial"/>
          <w:sz w:val="20"/>
          <w:szCs w:val="20"/>
        </w:rPr>
        <w:t>the fixture initial light output, grouped into lumen bins, and by fixture efficacy in one of 2 eligible Tiers.</w:t>
      </w:r>
      <w:r w:rsidR="002A165B" w:rsidRPr="00582636">
        <w:rPr>
          <w:rFonts w:ascii="Arial" w:hAnsi="Arial" w:cs="Arial"/>
          <w:sz w:val="20"/>
          <w:szCs w:val="20"/>
        </w:rPr>
        <w:t xml:space="preserve"> </w:t>
      </w:r>
      <w:r w:rsidR="00E36423">
        <w:rPr>
          <w:rFonts w:ascii="Arial" w:hAnsi="Arial" w:cs="Arial"/>
          <w:sz w:val="20"/>
          <w:szCs w:val="20"/>
        </w:rPr>
        <w:t>L</w:t>
      </w:r>
      <w:r w:rsidR="002A165B" w:rsidRPr="00582636">
        <w:rPr>
          <w:rFonts w:ascii="Arial" w:hAnsi="Arial" w:cs="Arial"/>
          <w:sz w:val="20"/>
          <w:szCs w:val="20"/>
        </w:rPr>
        <w:t>inear fluorescent fixture</w:t>
      </w:r>
      <w:r w:rsidR="00E36423">
        <w:rPr>
          <w:rFonts w:ascii="Arial" w:hAnsi="Arial" w:cs="Arial"/>
          <w:sz w:val="20"/>
          <w:szCs w:val="20"/>
        </w:rPr>
        <w:t>s</w:t>
      </w:r>
      <w:r w:rsidR="002A165B" w:rsidRPr="00582636">
        <w:rPr>
          <w:rFonts w:ascii="Arial" w:hAnsi="Arial" w:cs="Arial"/>
          <w:sz w:val="20"/>
          <w:szCs w:val="20"/>
        </w:rPr>
        <w:t xml:space="preserve"> were </w:t>
      </w:r>
      <w:r w:rsidR="00E36423">
        <w:rPr>
          <w:rFonts w:ascii="Arial" w:hAnsi="Arial" w:cs="Arial"/>
          <w:sz w:val="20"/>
          <w:szCs w:val="20"/>
        </w:rPr>
        <w:t xml:space="preserve">included in </w:t>
      </w:r>
      <w:r w:rsidR="00727D1F" w:rsidRPr="00582636">
        <w:rPr>
          <w:rFonts w:ascii="Arial" w:hAnsi="Arial" w:cs="Arial"/>
          <w:sz w:val="20"/>
          <w:szCs w:val="20"/>
        </w:rPr>
        <w:t>the</w:t>
      </w:r>
      <w:r w:rsidR="002A165B" w:rsidRPr="00582636">
        <w:rPr>
          <w:rFonts w:ascii="Arial" w:hAnsi="Arial" w:cs="Arial"/>
          <w:sz w:val="20"/>
          <w:szCs w:val="20"/>
        </w:rPr>
        <w:t xml:space="preserve"> base case</w:t>
      </w:r>
      <w:r w:rsidR="000D4559">
        <w:rPr>
          <w:rFonts w:ascii="Arial" w:hAnsi="Arial" w:cs="Arial"/>
          <w:sz w:val="20"/>
          <w:szCs w:val="20"/>
        </w:rPr>
        <w:t xml:space="preserve"> at up </w:t>
      </w:r>
      <w:r w:rsidR="00897D86">
        <w:rPr>
          <w:rFonts w:ascii="Arial" w:hAnsi="Arial" w:cs="Arial"/>
          <w:sz w:val="20"/>
          <w:szCs w:val="20"/>
        </w:rPr>
        <w:t xml:space="preserve">to </w:t>
      </w:r>
      <w:r w:rsidR="000D4559">
        <w:rPr>
          <w:rFonts w:ascii="Arial" w:hAnsi="Arial" w:cs="Arial"/>
          <w:sz w:val="20"/>
          <w:szCs w:val="20"/>
        </w:rPr>
        <w:t>20%, in accordance with the May 2018 Interim Solution values</w:t>
      </w:r>
      <w:r w:rsidR="00CA0D3D">
        <w:rPr>
          <w:rFonts w:ascii="Arial" w:hAnsi="Arial" w:cs="Arial"/>
          <w:sz w:val="20"/>
          <w:szCs w:val="20"/>
        </w:rPr>
        <w:t xml:space="preserve"> approved through 2019</w:t>
      </w:r>
      <w:r w:rsidR="000D4559">
        <w:rPr>
          <w:rFonts w:ascii="Arial" w:hAnsi="Arial" w:cs="Arial"/>
          <w:sz w:val="20"/>
          <w:szCs w:val="20"/>
        </w:rPr>
        <w:t>. L</w:t>
      </w:r>
      <w:r w:rsidR="00E36423">
        <w:rPr>
          <w:rFonts w:ascii="Arial" w:hAnsi="Arial" w:cs="Arial"/>
          <w:sz w:val="20"/>
          <w:szCs w:val="20"/>
        </w:rPr>
        <w:t>inear LED replacement lamps (TLEDs)</w:t>
      </w:r>
      <w:r w:rsidR="000D4559">
        <w:rPr>
          <w:rFonts w:ascii="Arial" w:hAnsi="Arial" w:cs="Arial"/>
          <w:sz w:val="20"/>
          <w:szCs w:val="20"/>
        </w:rPr>
        <w:t xml:space="preserve"> are a new addition to the base case mix with this revision</w:t>
      </w:r>
      <w:r w:rsidR="002A165B" w:rsidRPr="00582636">
        <w:rPr>
          <w:rFonts w:ascii="Arial" w:hAnsi="Arial" w:cs="Arial"/>
          <w:sz w:val="20"/>
          <w:szCs w:val="20"/>
        </w:rPr>
        <w:t>.</w:t>
      </w:r>
      <w:r w:rsidR="00727D1F" w:rsidRPr="00582636">
        <w:rPr>
          <w:rFonts w:ascii="Arial" w:hAnsi="Arial" w:cs="Arial"/>
          <w:sz w:val="20"/>
          <w:szCs w:val="20"/>
        </w:rPr>
        <w:t xml:space="preserve">  </w:t>
      </w:r>
      <w:r w:rsidR="000D4559" w:rsidRPr="00582636">
        <w:rPr>
          <w:rFonts w:ascii="Arial" w:hAnsi="Arial" w:cs="Arial"/>
          <w:sz w:val="20"/>
          <w:szCs w:val="20"/>
        </w:rPr>
        <w:t xml:space="preserve">The </w:t>
      </w:r>
      <w:r w:rsidR="000D4559">
        <w:rPr>
          <w:rFonts w:ascii="Arial" w:hAnsi="Arial" w:cs="Arial"/>
          <w:sz w:val="20"/>
          <w:szCs w:val="20"/>
        </w:rPr>
        <w:t xml:space="preserve">corresponding </w:t>
      </w:r>
      <w:r w:rsidR="000D4559" w:rsidRPr="00582636">
        <w:rPr>
          <w:rFonts w:ascii="Arial" w:hAnsi="Arial" w:cs="Arial"/>
          <w:sz w:val="20"/>
          <w:szCs w:val="20"/>
        </w:rPr>
        <w:t xml:space="preserve">linear fluorescent base cases are chosen by </w:t>
      </w:r>
      <w:r w:rsidR="000D4559">
        <w:rPr>
          <w:rFonts w:ascii="Arial" w:hAnsi="Arial" w:cs="Arial"/>
          <w:sz w:val="20"/>
          <w:szCs w:val="20"/>
        </w:rPr>
        <w:t xml:space="preserve">closest match in maintained zonal lumens to a </w:t>
      </w:r>
      <w:r w:rsidR="000D4559" w:rsidRPr="00582636">
        <w:rPr>
          <w:rFonts w:ascii="Arial" w:hAnsi="Arial" w:cs="Arial"/>
          <w:sz w:val="20"/>
          <w:szCs w:val="20"/>
        </w:rPr>
        <w:t xml:space="preserve">common </w:t>
      </w:r>
      <w:r w:rsidR="000D4559">
        <w:rPr>
          <w:rFonts w:ascii="Arial" w:hAnsi="Arial" w:cs="Arial"/>
          <w:sz w:val="20"/>
          <w:szCs w:val="20"/>
        </w:rPr>
        <w:t xml:space="preserve">federal-standard-compliant </w:t>
      </w:r>
      <w:r w:rsidR="000D4559" w:rsidRPr="00582636">
        <w:rPr>
          <w:rFonts w:ascii="Arial" w:hAnsi="Arial" w:cs="Arial"/>
          <w:sz w:val="20"/>
          <w:szCs w:val="20"/>
        </w:rPr>
        <w:t>T8 linear fluorescent fixture</w:t>
      </w:r>
      <w:r w:rsidR="000D4559">
        <w:rPr>
          <w:rFonts w:ascii="Arial" w:hAnsi="Arial" w:cs="Arial"/>
          <w:sz w:val="20"/>
          <w:szCs w:val="20"/>
        </w:rPr>
        <w:t xml:space="preserve"> of </w:t>
      </w:r>
      <w:proofErr w:type="gramStart"/>
      <w:r w:rsidR="000D4559">
        <w:rPr>
          <w:rFonts w:ascii="Arial" w:hAnsi="Arial" w:cs="Arial"/>
          <w:sz w:val="20"/>
          <w:szCs w:val="20"/>
        </w:rPr>
        <w:t>either</w:t>
      </w:r>
      <w:r w:rsidR="000D4559" w:rsidRPr="00582636">
        <w:rPr>
          <w:rFonts w:ascii="Arial" w:hAnsi="Arial" w:cs="Arial"/>
          <w:sz w:val="20"/>
          <w:szCs w:val="20"/>
        </w:rPr>
        <w:t xml:space="preserve"> 2</w:t>
      </w:r>
      <w:proofErr w:type="gramEnd"/>
      <w:r w:rsidR="000D4559" w:rsidRPr="00582636">
        <w:rPr>
          <w:rFonts w:ascii="Arial" w:hAnsi="Arial" w:cs="Arial"/>
          <w:sz w:val="20"/>
          <w:szCs w:val="20"/>
        </w:rPr>
        <w:t xml:space="preserve">, 3, 4, 6, 8, </w:t>
      </w:r>
      <w:r w:rsidR="000D4559">
        <w:rPr>
          <w:rFonts w:ascii="Arial" w:hAnsi="Arial" w:cs="Arial"/>
          <w:sz w:val="20"/>
          <w:szCs w:val="20"/>
        </w:rPr>
        <w:t>or</w:t>
      </w:r>
      <w:r w:rsidR="000D4559" w:rsidRPr="00582636">
        <w:rPr>
          <w:rFonts w:ascii="Arial" w:hAnsi="Arial" w:cs="Arial"/>
          <w:sz w:val="20"/>
          <w:szCs w:val="20"/>
        </w:rPr>
        <w:t xml:space="preserve"> 10</w:t>
      </w:r>
      <w:r w:rsidR="000D4559">
        <w:rPr>
          <w:rFonts w:ascii="Arial" w:hAnsi="Arial" w:cs="Arial"/>
          <w:sz w:val="20"/>
          <w:szCs w:val="20"/>
        </w:rPr>
        <w:t xml:space="preserve"> four</w:t>
      </w:r>
      <w:r w:rsidR="000D4559" w:rsidRPr="00582636">
        <w:rPr>
          <w:rFonts w:ascii="Arial" w:hAnsi="Arial" w:cs="Arial"/>
          <w:sz w:val="20"/>
          <w:szCs w:val="20"/>
        </w:rPr>
        <w:t>-</w:t>
      </w:r>
      <w:r w:rsidR="000D4559">
        <w:rPr>
          <w:rFonts w:ascii="Arial" w:hAnsi="Arial" w:cs="Arial"/>
          <w:sz w:val="20"/>
          <w:szCs w:val="20"/>
        </w:rPr>
        <w:t xml:space="preserve">foot </w:t>
      </w:r>
      <w:r w:rsidR="000D4559" w:rsidRPr="00582636">
        <w:rPr>
          <w:rFonts w:ascii="Arial" w:hAnsi="Arial" w:cs="Arial"/>
          <w:sz w:val="20"/>
          <w:szCs w:val="20"/>
        </w:rPr>
        <w:t>lamp</w:t>
      </w:r>
      <w:r w:rsidR="000D4559">
        <w:rPr>
          <w:rFonts w:ascii="Arial" w:hAnsi="Arial" w:cs="Arial"/>
          <w:sz w:val="20"/>
          <w:szCs w:val="20"/>
        </w:rPr>
        <w:t>s.</w:t>
      </w:r>
      <w:r w:rsidR="000D4559" w:rsidRPr="00582636">
        <w:rPr>
          <w:rFonts w:ascii="Arial" w:hAnsi="Arial" w:cs="Arial"/>
          <w:sz w:val="20"/>
          <w:szCs w:val="20"/>
        </w:rPr>
        <w:t xml:space="preserve"> </w:t>
      </w:r>
      <w:r w:rsidR="00727D1F" w:rsidRPr="00582636">
        <w:rPr>
          <w:rFonts w:ascii="Arial" w:hAnsi="Arial" w:cs="Arial"/>
          <w:sz w:val="20"/>
          <w:szCs w:val="20"/>
        </w:rPr>
        <w:t xml:space="preserve">More information on the base case and measure case </w:t>
      </w:r>
      <w:r w:rsidR="000D4559">
        <w:rPr>
          <w:rFonts w:ascii="Arial" w:hAnsi="Arial" w:cs="Arial"/>
          <w:sz w:val="20"/>
          <w:szCs w:val="20"/>
        </w:rPr>
        <w:t>calculations is</w:t>
      </w:r>
      <w:r w:rsidR="000D4559" w:rsidRPr="00582636">
        <w:rPr>
          <w:rFonts w:ascii="Arial" w:hAnsi="Arial" w:cs="Arial"/>
          <w:sz w:val="20"/>
          <w:szCs w:val="20"/>
        </w:rPr>
        <w:t xml:space="preserve"> </w:t>
      </w:r>
      <w:r w:rsidR="00727D1F" w:rsidRPr="00582636">
        <w:rPr>
          <w:rFonts w:ascii="Arial" w:hAnsi="Arial" w:cs="Arial"/>
          <w:sz w:val="20"/>
          <w:szCs w:val="20"/>
        </w:rPr>
        <w:t xml:space="preserve">provided in </w:t>
      </w:r>
      <w:r w:rsidR="00727D1F" w:rsidRPr="00582636">
        <w:rPr>
          <w:rFonts w:ascii="Arial" w:hAnsi="Arial" w:cs="Arial"/>
          <w:sz w:val="20"/>
          <w:szCs w:val="20"/>
        </w:rPr>
        <w:fldChar w:fldCharType="begin"/>
      </w:r>
      <w:r w:rsidR="00727D1F" w:rsidRPr="00582636">
        <w:rPr>
          <w:rFonts w:ascii="Arial" w:hAnsi="Arial" w:cs="Arial"/>
          <w:sz w:val="20"/>
          <w:szCs w:val="20"/>
        </w:rPr>
        <w:instrText xml:space="preserve"> REF _Ref510938094 \h  \* MERGEFORMAT </w:instrText>
      </w:r>
      <w:r w:rsidR="00727D1F" w:rsidRPr="00582636">
        <w:rPr>
          <w:rFonts w:ascii="Arial" w:hAnsi="Arial" w:cs="Arial"/>
          <w:sz w:val="20"/>
          <w:szCs w:val="20"/>
        </w:rPr>
      </w:r>
      <w:r w:rsidR="00727D1F" w:rsidRPr="00582636">
        <w:rPr>
          <w:rFonts w:ascii="Arial" w:hAnsi="Arial" w:cs="Arial"/>
          <w:sz w:val="20"/>
          <w:szCs w:val="20"/>
        </w:rPr>
        <w:fldChar w:fldCharType="separate"/>
      </w:r>
      <w:r w:rsidR="007803A1" w:rsidRPr="00AC3944">
        <w:rPr>
          <w:rFonts w:ascii="Arial" w:hAnsi="Arial" w:cs="Arial"/>
          <w:sz w:val="20"/>
          <w:szCs w:val="20"/>
        </w:rPr>
        <w:t>Section 2 Calculation Methods</w:t>
      </w:r>
      <w:r w:rsidR="00727D1F" w:rsidRPr="00582636">
        <w:rPr>
          <w:rFonts w:ascii="Arial" w:hAnsi="Arial" w:cs="Arial"/>
          <w:sz w:val="20"/>
          <w:szCs w:val="20"/>
        </w:rPr>
        <w:fldChar w:fldCharType="end"/>
      </w:r>
      <w:r w:rsidR="00727D1F" w:rsidRPr="00582636">
        <w:rPr>
          <w:rFonts w:ascii="Arial" w:hAnsi="Arial" w:cs="Arial"/>
          <w:sz w:val="20"/>
          <w:szCs w:val="20"/>
        </w:rPr>
        <w:t>.</w:t>
      </w:r>
      <w:r w:rsidR="000D4559">
        <w:rPr>
          <w:rFonts w:ascii="Arial" w:hAnsi="Arial" w:cs="Arial"/>
          <w:sz w:val="20"/>
          <w:szCs w:val="20"/>
        </w:rPr>
        <w:t xml:space="preserve"> More information on </w:t>
      </w:r>
      <w:r w:rsidR="00897D86">
        <w:rPr>
          <w:rFonts w:ascii="Arial" w:hAnsi="Arial" w:cs="Arial"/>
          <w:sz w:val="20"/>
          <w:szCs w:val="20"/>
        </w:rPr>
        <w:t>including</w:t>
      </w:r>
      <w:r w:rsidR="000D4559">
        <w:rPr>
          <w:rFonts w:ascii="Arial" w:hAnsi="Arial" w:cs="Arial"/>
          <w:sz w:val="20"/>
          <w:szCs w:val="20"/>
        </w:rPr>
        <w:t xml:space="preserve"> TLED</w:t>
      </w:r>
      <w:r w:rsidR="00897D86">
        <w:rPr>
          <w:rFonts w:ascii="Arial" w:hAnsi="Arial" w:cs="Arial"/>
          <w:sz w:val="20"/>
          <w:szCs w:val="20"/>
        </w:rPr>
        <w:t>s in the</w:t>
      </w:r>
      <w:r w:rsidR="000D4559">
        <w:rPr>
          <w:rFonts w:ascii="Arial" w:hAnsi="Arial" w:cs="Arial"/>
          <w:sz w:val="20"/>
          <w:szCs w:val="20"/>
        </w:rPr>
        <w:t xml:space="preserve"> base case is presented in Section 1.5.</w:t>
      </w:r>
    </w:p>
    <w:p w14:paraId="1750B099" w14:textId="77A9A99A" w:rsidR="00EC568D" w:rsidRPr="00A071AC" w:rsidRDefault="00EC568D" w:rsidP="00EC568D">
      <w:pPr>
        <w:pStyle w:val="Heading3"/>
      </w:pPr>
      <w:bookmarkStart w:id="48" w:name="_Toc511038030"/>
      <w:bookmarkStart w:id="49" w:name="_Toc2804903"/>
      <w:r w:rsidRPr="00A071AC">
        <w:t xml:space="preserve">1.4.1 DEER </w:t>
      </w:r>
      <w:r w:rsidR="002B40BA" w:rsidRPr="00A071AC">
        <w:t>Data</w:t>
      </w:r>
      <w:bookmarkEnd w:id="48"/>
      <w:bookmarkEnd w:id="49"/>
      <w:r w:rsidRPr="00A071AC">
        <w:t xml:space="preserve"> </w:t>
      </w:r>
    </w:p>
    <w:p w14:paraId="600FDDF5" w14:textId="6747372B" w:rsidR="00813AEE" w:rsidRPr="00E40631" w:rsidRDefault="00EC568D">
      <w:pPr>
        <w:rPr>
          <w:rFonts w:ascii="Arial" w:hAnsi="Arial"/>
          <w:color w:val="000000"/>
          <w:sz w:val="20"/>
          <w:szCs w:val="20"/>
        </w:rPr>
      </w:pPr>
      <w:r w:rsidRPr="007B68E7">
        <w:rPr>
          <w:rFonts w:ascii="Arial" w:hAnsi="Arial"/>
          <w:sz w:val="20"/>
          <w:szCs w:val="20"/>
        </w:rPr>
        <w:t>Th</w:t>
      </w:r>
      <w:r w:rsidR="00B16195" w:rsidRPr="007B68E7">
        <w:rPr>
          <w:rFonts w:ascii="Arial" w:hAnsi="Arial"/>
          <w:sz w:val="20"/>
          <w:szCs w:val="20"/>
        </w:rPr>
        <w:t xml:space="preserve">is </w:t>
      </w:r>
      <w:r w:rsidR="0008441F" w:rsidRPr="007B68E7">
        <w:rPr>
          <w:rFonts w:ascii="Arial" w:hAnsi="Arial"/>
          <w:sz w:val="20"/>
          <w:szCs w:val="20"/>
        </w:rPr>
        <w:t xml:space="preserve">revision </w:t>
      </w:r>
      <w:r w:rsidR="00AC3944" w:rsidRPr="007B68E7">
        <w:rPr>
          <w:rFonts w:ascii="Arial" w:hAnsi="Arial"/>
          <w:sz w:val="20"/>
          <w:szCs w:val="20"/>
        </w:rPr>
        <w:t xml:space="preserve">R4 </w:t>
      </w:r>
      <w:r w:rsidR="0008441F" w:rsidRPr="007B68E7">
        <w:rPr>
          <w:rFonts w:ascii="Arial" w:hAnsi="Arial"/>
          <w:sz w:val="20"/>
          <w:szCs w:val="20"/>
        </w:rPr>
        <w:t xml:space="preserve">of the </w:t>
      </w:r>
      <w:r w:rsidR="00727D1F" w:rsidRPr="007B68E7">
        <w:rPr>
          <w:rFonts w:ascii="Arial" w:hAnsi="Arial"/>
          <w:sz w:val="20"/>
          <w:szCs w:val="20"/>
        </w:rPr>
        <w:t>work</w:t>
      </w:r>
      <w:r w:rsidR="0008441F" w:rsidRPr="007B68E7">
        <w:rPr>
          <w:rFonts w:ascii="Arial" w:hAnsi="Arial"/>
          <w:sz w:val="20"/>
          <w:szCs w:val="20"/>
        </w:rPr>
        <w:t>paper</w:t>
      </w:r>
      <w:r w:rsidR="00B16195" w:rsidRPr="00F009CD">
        <w:rPr>
          <w:rFonts w:ascii="Arial" w:hAnsi="Arial"/>
          <w:sz w:val="20"/>
          <w:szCs w:val="20"/>
        </w:rPr>
        <w:t xml:space="preserve"> is an update to the </w:t>
      </w:r>
      <w:r w:rsidR="007176A8" w:rsidRPr="00F009CD">
        <w:rPr>
          <w:rFonts w:ascii="Arial" w:hAnsi="Arial"/>
          <w:sz w:val="20"/>
          <w:szCs w:val="20"/>
        </w:rPr>
        <w:t xml:space="preserve">current </w:t>
      </w:r>
      <w:r w:rsidR="00B16195" w:rsidRPr="00F009CD">
        <w:rPr>
          <w:rFonts w:ascii="Arial" w:hAnsi="Arial"/>
          <w:sz w:val="20"/>
          <w:szCs w:val="20"/>
        </w:rPr>
        <w:t>revision</w:t>
      </w:r>
      <w:r w:rsidR="00AC3944" w:rsidRPr="00F009CD">
        <w:rPr>
          <w:rFonts w:ascii="Arial" w:hAnsi="Arial"/>
          <w:sz w:val="20"/>
          <w:szCs w:val="20"/>
        </w:rPr>
        <w:t xml:space="preserve"> R3</w:t>
      </w:r>
      <w:r w:rsidR="00B16195" w:rsidRPr="00F009CD">
        <w:rPr>
          <w:rFonts w:ascii="Arial" w:hAnsi="Arial"/>
          <w:sz w:val="20"/>
          <w:szCs w:val="20"/>
        </w:rPr>
        <w:t xml:space="preserve"> now found in th</w:t>
      </w:r>
      <w:r w:rsidRPr="00F009CD">
        <w:rPr>
          <w:rFonts w:ascii="Arial" w:hAnsi="Arial"/>
          <w:sz w:val="20"/>
          <w:szCs w:val="20"/>
        </w:rPr>
        <w:t>e Database for Energy Efficient Resources (DEER).</w:t>
      </w:r>
      <w:r w:rsidR="00813AEE" w:rsidRPr="00F009CD">
        <w:rPr>
          <w:rFonts w:ascii="Arial" w:hAnsi="Arial"/>
          <w:sz w:val="20"/>
          <w:szCs w:val="20"/>
        </w:rPr>
        <w:t xml:space="preserve"> </w:t>
      </w:r>
    </w:p>
    <w:p w14:paraId="67A96C3F" w14:textId="77777777" w:rsidR="00813AEE" w:rsidRPr="00813AEE" w:rsidRDefault="00813AEE" w:rsidP="00EC568D">
      <w:pPr>
        <w:rPr>
          <w:rFonts w:ascii="Arial" w:hAnsi="Arial"/>
          <w:sz w:val="20"/>
        </w:rPr>
      </w:pPr>
    </w:p>
    <w:p w14:paraId="1117D093" w14:textId="1852CDBB" w:rsidR="00FD6117" w:rsidRPr="00A071AC" w:rsidRDefault="00FD6117" w:rsidP="002B40BA">
      <w:pPr>
        <w:pStyle w:val="Caption"/>
        <w:keepNext/>
        <w:jc w:val="center"/>
      </w:pPr>
      <w:bookmarkStart w:id="50" w:name="_Toc511038009"/>
      <w:bookmarkStart w:id="51" w:name="_Toc511244270"/>
      <w:bookmarkStart w:id="52" w:name="_Toc511244295"/>
      <w:bookmarkStart w:id="53" w:name="_Toc2804936"/>
      <w:r w:rsidRPr="00A071AC">
        <w:t xml:space="preserve">Table </w:t>
      </w:r>
      <w:fldSimple w:instr=" SEQ Table \* ARABIC ">
        <w:r w:rsidR="007D2501">
          <w:rPr>
            <w:noProof/>
          </w:rPr>
          <w:t>4</w:t>
        </w:r>
      </w:fldSimple>
      <w:r w:rsidR="007042ED">
        <w:t xml:space="preserve"> </w:t>
      </w:r>
      <w:r w:rsidRPr="00A071AC">
        <w:t>DEER Difference Summary</w:t>
      </w:r>
      <w:bookmarkEnd w:id="50"/>
      <w:bookmarkEnd w:id="51"/>
      <w:bookmarkEnd w:id="52"/>
      <w:bookmarkEnd w:id="53"/>
      <w:r w:rsidR="00F75250">
        <w:t xml:space="preserve"> </w:t>
      </w:r>
    </w:p>
    <w:tbl>
      <w:tblPr>
        <w:tblW w:w="51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904"/>
        <w:gridCol w:w="7022"/>
      </w:tblGrid>
      <w:tr w:rsidR="00FD6117" w:rsidRPr="009842A2" w14:paraId="0200358E" w14:textId="77777777" w:rsidTr="00A243C3">
        <w:trPr>
          <w:trHeight w:val="20"/>
        </w:trPr>
        <w:tc>
          <w:tcPr>
            <w:tcW w:w="1463" w:type="pct"/>
            <w:shd w:val="clear" w:color="auto" w:fill="D9D9D9"/>
          </w:tcPr>
          <w:p w14:paraId="4E09E658" w14:textId="77777777" w:rsidR="00FD6117" w:rsidRPr="00E35C1C" w:rsidRDefault="00FD6117" w:rsidP="00E35C1C">
            <w:pPr>
              <w:tabs>
                <w:tab w:val="right" w:pos="2957"/>
              </w:tabs>
              <w:rPr>
                <w:rFonts w:ascii="Arial" w:hAnsi="Arial"/>
                <w:b/>
                <w:sz w:val="20"/>
              </w:rPr>
            </w:pPr>
            <w:r w:rsidRPr="00E35C1C">
              <w:rPr>
                <w:rFonts w:ascii="Arial" w:hAnsi="Arial"/>
                <w:b/>
                <w:sz w:val="20"/>
              </w:rPr>
              <w:t>DEER Item</w:t>
            </w:r>
          </w:p>
        </w:tc>
        <w:tc>
          <w:tcPr>
            <w:tcW w:w="3537" w:type="pct"/>
            <w:shd w:val="clear" w:color="auto" w:fill="D9D9D9"/>
          </w:tcPr>
          <w:p w14:paraId="6CD6A837" w14:textId="77777777" w:rsidR="00FD6117" w:rsidRPr="00E35C1C" w:rsidRDefault="00FD6117" w:rsidP="00A43F43">
            <w:pPr>
              <w:rPr>
                <w:rFonts w:ascii="Arial" w:hAnsi="Arial"/>
                <w:b/>
                <w:sz w:val="20"/>
              </w:rPr>
            </w:pPr>
            <w:r w:rsidRPr="00E35C1C">
              <w:rPr>
                <w:rFonts w:ascii="Arial" w:hAnsi="Arial"/>
                <w:b/>
                <w:sz w:val="20"/>
              </w:rPr>
              <w:t>Used for Workpaper?</w:t>
            </w:r>
          </w:p>
        </w:tc>
      </w:tr>
      <w:tr w:rsidR="00FD6117" w:rsidRPr="009842A2" w14:paraId="35D94666" w14:textId="77777777" w:rsidTr="00A243C3">
        <w:trPr>
          <w:trHeight w:val="20"/>
        </w:trPr>
        <w:tc>
          <w:tcPr>
            <w:tcW w:w="1463" w:type="pct"/>
            <w:shd w:val="clear" w:color="auto" w:fill="auto"/>
          </w:tcPr>
          <w:p w14:paraId="5D132788" w14:textId="77777777" w:rsidR="00FD6117" w:rsidRPr="00E35C1C" w:rsidRDefault="00FD6117" w:rsidP="00A43F43">
            <w:pPr>
              <w:rPr>
                <w:rFonts w:ascii="Arial" w:hAnsi="Arial"/>
                <w:sz w:val="20"/>
              </w:rPr>
            </w:pPr>
            <w:r w:rsidRPr="00E35C1C">
              <w:rPr>
                <w:rFonts w:ascii="Arial" w:hAnsi="Arial"/>
                <w:sz w:val="20"/>
              </w:rPr>
              <w:t>Modified DEER methodology</w:t>
            </w:r>
          </w:p>
        </w:tc>
        <w:tc>
          <w:tcPr>
            <w:tcW w:w="3537" w:type="pct"/>
            <w:shd w:val="clear" w:color="auto" w:fill="auto"/>
          </w:tcPr>
          <w:p w14:paraId="42E066EC" w14:textId="2959A111" w:rsidR="00FD6117" w:rsidRPr="00E35C1C" w:rsidRDefault="00FD6117" w:rsidP="00A43F43">
            <w:pPr>
              <w:rPr>
                <w:rFonts w:ascii="Arial" w:hAnsi="Arial"/>
                <w:b/>
                <w:color w:val="FF0000"/>
                <w:sz w:val="20"/>
              </w:rPr>
            </w:pPr>
            <w:r w:rsidRPr="00E35C1C">
              <w:rPr>
                <w:rFonts w:ascii="Arial" w:hAnsi="Arial"/>
                <w:sz w:val="20"/>
              </w:rPr>
              <w:t>Yes</w:t>
            </w:r>
          </w:p>
        </w:tc>
      </w:tr>
      <w:tr w:rsidR="00FD6117" w:rsidRPr="009842A2" w14:paraId="0236E1B5" w14:textId="77777777" w:rsidTr="00A243C3">
        <w:trPr>
          <w:trHeight w:val="20"/>
        </w:trPr>
        <w:tc>
          <w:tcPr>
            <w:tcW w:w="1463" w:type="pct"/>
            <w:shd w:val="clear" w:color="auto" w:fill="auto"/>
          </w:tcPr>
          <w:p w14:paraId="6B6E88A6" w14:textId="77777777" w:rsidR="00FD6117" w:rsidRPr="00E35C1C" w:rsidRDefault="00FD6117" w:rsidP="00A43F43">
            <w:pPr>
              <w:rPr>
                <w:rFonts w:ascii="Arial" w:hAnsi="Arial"/>
                <w:sz w:val="20"/>
              </w:rPr>
            </w:pPr>
            <w:r w:rsidRPr="00E35C1C">
              <w:rPr>
                <w:rFonts w:ascii="Arial" w:hAnsi="Arial"/>
                <w:sz w:val="20"/>
              </w:rPr>
              <w:t>Scaled DEER measure</w:t>
            </w:r>
          </w:p>
        </w:tc>
        <w:tc>
          <w:tcPr>
            <w:tcW w:w="3537" w:type="pct"/>
            <w:shd w:val="clear" w:color="auto" w:fill="auto"/>
          </w:tcPr>
          <w:p w14:paraId="0A7D4118" w14:textId="418C5201" w:rsidR="00FD6117" w:rsidRPr="00E35C1C" w:rsidRDefault="00FD6117" w:rsidP="00A43F43">
            <w:pPr>
              <w:rPr>
                <w:rFonts w:ascii="Arial" w:hAnsi="Arial"/>
                <w:sz w:val="20"/>
              </w:rPr>
            </w:pPr>
            <w:r w:rsidRPr="00E35C1C">
              <w:rPr>
                <w:rFonts w:ascii="Arial" w:hAnsi="Arial"/>
                <w:sz w:val="20"/>
              </w:rPr>
              <w:t>No</w:t>
            </w:r>
          </w:p>
        </w:tc>
      </w:tr>
      <w:tr w:rsidR="00FD6117" w:rsidRPr="009842A2" w14:paraId="09D59C4F" w14:textId="77777777" w:rsidTr="00A243C3">
        <w:trPr>
          <w:trHeight w:val="20"/>
        </w:trPr>
        <w:tc>
          <w:tcPr>
            <w:tcW w:w="1463" w:type="pct"/>
            <w:shd w:val="clear" w:color="auto" w:fill="auto"/>
          </w:tcPr>
          <w:p w14:paraId="0E7D81C6" w14:textId="77777777" w:rsidR="00FD6117" w:rsidRPr="00E35C1C" w:rsidRDefault="00FD6117" w:rsidP="00A43F43">
            <w:pPr>
              <w:rPr>
                <w:rFonts w:ascii="Arial" w:hAnsi="Arial"/>
                <w:sz w:val="20"/>
              </w:rPr>
            </w:pPr>
            <w:r w:rsidRPr="00E35C1C">
              <w:rPr>
                <w:rFonts w:ascii="Arial" w:hAnsi="Arial"/>
                <w:sz w:val="20"/>
              </w:rPr>
              <w:t>DEER Base Case</w:t>
            </w:r>
          </w:p>
        </w:tc>
        <w:tc>
          <w:tcPr>
            <w:tcW w:w="3537" w:type="pct"/>
            <w:shd w:val="clear" w:color="auto" w:fill="auto"/>
          </w:tcPr>
          <w:p w14:paraId="7FE83210" w14:textId="7FCFB694" w:rsidR="00FD6117" w:rsidRPr="00E35C1C" w:rsidRDefault="00FD6117" w:rsidP="00A43F43">
            <w:pPr>
              <w:rPr>
                <w:rFonts w:ascii="Arial" w:hAnsi="Arial"/>
                <w:sz w:val="20"/>
              </w:rPr>
            </w:pPr>
            <w:r w:rsidRPr="00E35C1C">
              <w:rPr>
                <w:rFonts w:ascii="Arial" w:hAnsi="Arial"/>
                <w:sz w:val="20"/>
              </w:rPr>
              <w:t>No</w:t>
            </w:r>
          </w:p>
        </w:tc>
      </w:tr>
      <w:tr w:rsidR="00FD6117" w:rsidRPr="009842A2" w14:paraId="4E51F6D2" w14:textId="77777777" w:rsidTr="00A243C3">
        <w:trPr>
          <w:trHeight w:val="20"/>
        </w:trPr>
        <w:tc>
          <w:tcPr>
            <w:tcW w:w="1463" w:type="pct"/>
            <w:shd w:val="clear" w:color="auto" w:fill="auto"/>
          </w:tcPr>
          <w:p w14:paraId="62DA25FD" w14:textId="77777777" w:rsidR="00FD6117" w:rsidRPr="00E35C1C" w:rsidRDefault="00FD6117" w:rsidP="00A43F43">
            <w:pPr>
              <w:rPr>
                <w:rFonts w:ascii="Arial" w:hAnsi="Arial"/>
                <w:sz w:val="20"/>
              </w:rPr>
            </w:pPr>
            <w:r w:rsidRPr="00E35C1C">
              <w:rPr>
                <w:rFonts w:ascii="Arial" w:hAnsi="Arial"/>
                <w:sz w:val="20"/>
              </w:rPr>
              <w:t>DEER Measure Case</w:t>
            </w:r>
          </w:p>
        </w:tc>
        <w:tc>
          <w:tcPr>
            <w:tcW w:w="3537" w:type="pct"/>
            <w:shd w:val="clear" w:color="auto" w:fill="auto"/>
          </w:tcPr>
          <w:p w14:paraId="65F049F4" w14:textId="5964FF9F" w:rsidR="00FD6117" w:rsidRPr="00E35C1C" w:rsidRDefault="00E20468" w:rsidP="00A43F43">
            <w:pPr>
              <w:rPr>
                <w:rFonts w:ascii="Arial" w:hAnsi="Arial"/>
                <w:sz w:val="20"/>
              </w:rPr>
            </w:pPr>
            <w:r w:rsidRPr="00E35C1C">
              <w:rPr>
                <w:rFonts w:ascii="Arial" w:hAnsi="Arial" w:cs="Arial"/>
                <w:sz w:val="20"/>
                <w:szCs w:val="20"/>
              </w:rPr>
              <w:t>No</w:t>
            </w:r>
          </w:p>
        </w:tc>
      </w:tr>
      <w:tr w:rsidR="00FD6117" w:rsidRPr="009842A2" w14:paraId="4A76B4E0" w14:textId="77777777" w:rsidTr="00A243C3">
        <w:trPr>
          <w:trHeight w:val="20"/>
        </w:trPr>
        <w:tc>
          <w:tcPr>
            <w:tcW w:w="1463" w:type="pct"/>
            <w:shd w:val="clear" w:color="auto" w:fill="auto"/>
          </w:tcPr>
          <w:p w14:paraId="3976C6AF" w14:textId="77777777" w:rsidR="00FD6117" w:rsidRPr="00E35C1C" w:rsidRDefault="00FD6117" w:rsidP="00A43F43">
            <w:pPr>
              <w:rPr>
                <w:rFonts w:ascii="Arial" w:hAnsi="Arial"/>
                <w:sz w:val="20"/>
              </w:rPr>
            </w:pPr>
            <w:r w:rsidRPr="00E35C1C">
              <w:rPr>
                <w:rFonts w:ascii="Arial" w:hAnsi="Arial"/>
                <w:sz w:val="20"/>
              </w:rPr>
              <w:t>DEER Building Types</w:t>
            </w:r>
          </w:p>
        </w:tc>
        <w:tc>
          <w:tcPr>
            <w:tcW w:w="3537" w:type="pct"/>
            <w:shd w:val="clear" w:color="auto" w:fill="auto"/>
          </w:tcPr>
          <w:p w14:paraId="1CB0ECBC" w14:textId="37735A17" w:rsidR="00FD6117" w:rsidRPr="00E35C1C" w:rsidRDefault="00FD6117" w:rsidP="00A43F43">
            <w:pPr>
              <w:rPr>
                <w:rFonts w:ascii="Arial" w:hAnsi="Arial"/>
                <w:sz w:val="20"/>
              </w:rPr>
            </w:pPr>
            <w:r w:rsidRPr="00E35C1C">
              <w:rPr>
                <w:rFonts w:ascii="Arial" w:hAnsi="Arial"/>
                <w:sz w:val="20"/>
              </w:rPr>
              <w:t>Yes</w:t>
            </w:r>
          </w:p>
        </w:tc>
      </w:tr>
      <w:tr w:rsidR="00FD6117" w:rsidRPr="009842A2" w14:paraId="713FEA64" w14:textId="77777777" w:rsidTr="00A243C3">
        <w:trPr>
          <w:trHeight w:val="20"/>
        </w:trPr>
        <w:tc>
          <w:tcPr>
            <w:tcW w:w="1463" w:type="pct"/>
            <w:shd w:val="clear" w:color="auto" w:fill="auto"/>
          </w:tcPr>
          <w:p w14:paraId="4705C147" w14:textId="77777777" w:rsidR="00FD6117" w:rsidRPr="00E35C1C" w:rsidRDefault="00FD6117" w:rsidP="00A43F43">
            <w:pPr>
              <w:rPr>
                <w:rFonts w:ascii="Arial" w:hAnsi="Arial"/>
                <w:sz w:val="20"/>
              </w:rPr>
            </w:pPr>
            <w:r w:rsidRPr="00E35C1C">
              <w:rPr>
                <w:rFonts w:ascii="Arial" w:hAnsi="Arial"/>
                <w:sz w:val="20"/>
              </w:rPr>
              <w:t>DEER Operating Hours</w:t>
            </w:r>
          </w:p>
        </w:tc>
        <w:tc>
          <w:tcPr>
            <w:tcW w:w="3537" w:type="pct"/>
            <w:shd w:val="clear" w:color="auto" w:fill="auto"/>
          </w:tcPr>
          <w:p w14:paraId="42D49AB5" w14:textId="04D0D185" w:rsidR="00FD6117" w:rsidRPr="00E35C1C" w:rsidRDefault="00FD6117" w:rsidP="00A43F43">
            <w:pPr>
              <w:rPr>
                <w:rFonts w:ascii="Arial" w:hAnsi="Arial"/>
                <w:sz w:val="20"/>
              </w:rPr>
            </w:pPr>
            <w:r w:rsidRPr="00E35C1C">
              <w:rPr>
                <w:rFonts w:ascii="Arial" w:hAnsi="Arial"/>
                <w:sz w:val="20"/>
              </w:rPr>
              <w:t>Yes</w:t>
            </w:r>
          </w:p>
        </w:tc>
      </w:tr>
      <w:tr w:rsidR="00FD6117" w:rsidRPr="009842A2" w14:paraId="16045212" w14:textId="77777777" w:rsidTr="00A243C3">
        <w:trPr>
          <w:trHeight w:val="20"/>
        </w:trPr>
        <w:tc>
          <w:tcPr>
            <w:tcW w:w="1463" w:type="pct"/>
            <w:shd w:val="clear" w:color="auto" w:fill="auto"/>
          </w:tcPr>
          <w:p w14:paraId="3C0FF9F6" w14:textId="77777777" w:rsidR="00FD6117" w:rsidRPr="00E35C1C" w:rsidRDefault="00FD6117" w:rsidP="00A43F43">
            <w:pPr>
              <w:rPr>
                <w:rFonts w:ascii="Arial" w:hAnsi="Arial"/>
                <w:sz w:val="20"/>
              </w:rPr>
            </w:pPr>
            <w:r w:rsidRPr="00E35C1C">
              <w:rPr>
                <w:rFonts w:ascii="Arial" w:hAnsi="Arial"/>
                <w:sz w:val="20"/>
              </w:rPr>
              <w:t xml:space="preserve">DEER </w:t>
            </w:r>
            <w:proofErr w:type="spellStart"/>
            <w:r w:rsidRPr="00E35C1C">
              <w:rPr>
                <w:rFonts w:ascii="Arial" w:hAnsi="Arial"/>
                <w:sz w:val="20"/>
              </w:rPr>
              <w:t>eQUEST</w:t>
            </w:r>
            <w:proofErr w:type="spellEnd"/>
            <w:r w:rsidRPr="00E35C1C">
              <w:rPr>
                <w:rFonts w:ascii="Arial" w:hAnsi="Arial"/>
                <w:sz w:val="20"/>
              </w:rPr>
              <w:t xml:space="preserve"> Prototypes</w:t>
            </w:r>
          </w:p>
        </w:tc>
        <w:tc>
          <w:tcPr>
            <w:tcW w:w="3537" w:type="pct"/>
            <w:shd w:val="clear" w:color="auto" w:fill="auto"/>
          </w:tcPr>
          <w:p w14:paraId="4BF5211E" w14:textId="25294529" w:rsidR="00FD6117" w:rsidRPr="00E35C1C" w:rsidDel="00505CEC" w:rsidRDefault="00FD6117" w:rsidP="00A43F43">
            <w:pPr>
              <w:rPr>
                <w:rFonts w:ascii="Arial" w:hAnsi="Arial"/>
                <w:sz w:val="20"/>
              </w:rPr>
            </w:pPr>
            <w:r w:rsidRPr="00E35C1C">
              <w:rPr>
                <w:rFonts w:ascii="Arial" w:hAnsi="Arial" w:cs="Arial"/>
                <w:sz w:val="20"/>
                <w:szCs w:val="20"/>
              </w:rPr>
              <w:t>No</w:t>
            </w:r>
          </w:p>
        </w:tc>
      </w:tr>
      <w:tr w:rsidR="00FD6117" w:rsidRPr="009842A2" w14:paraId="0C6A365C" w14:textId="77777777" w:rsidTr="00A243C3">
        <w:trPr>
          <w:trHeight w:val="20"/>
        </w:trPr>
        <w:tc>
          <w:tcPr>
            <w:tcW w:w="1463" w:type="pct"/>
            <w:shd w:val="clear" w:color="auto" w:fill="auto"/>
          </w:tcPr>
          <w:p w14:paraId="3ECD2BAB" w14:textId="77777777" w:rsidR="00FD6117" w:rsidRPr="00E35C1C" w:rsidRDefault="00FD6117" w:rsidP="00A43F43">
            <w:pPr>
              <w:rPr>
                <w:rFonts w:ascii="Arial" w:hAnsi="Arial"/>
                <w:sz w:val="20"/>
              </w:rPr>
            </w:pPr>
            <w:r w:rsidRPr="00E35C1C">
              <w:rPr>
                <w:rFonts w:ascii="Arial" w:hAnsi="Arial"/>
                <w:sz w:val="20"/>
              </w:rPr>
              <w:t>DEER Version</w:t>
            </w:r>
          </w:p>
        </w:tc>
        <w:tc>
          <w:tcPr>
            <w:tcW w:w="3537" w:type="pct"/>
            <w:shd w:val="clear" w:color="auto" w:fill="auto"/>
          </w:tcPr>
          <w:p w14:paraId="601122A0" w14:textId="4E61248B" w:rsidR="00FD6117" w:rsidRPr="00E40631" w:rsidRDefault="00FD6117">
            <w:pPr>
              <w:rPr>
                <w:rFonts w:ascii="Arial" w:hAnsi="Arial" w:cs="Arial"/>
                <w:sz w:val="20"/>
                <w:szCs w:val="20"/>
              </w:rPr>
            </w:pPr>
            <w:r w:rsidRPr="00E35C1C">
              <w:rPr>
                <w:rFonts w:ascii="Arial" w:hAnsi="Arial" w:cs="Arial"/>
                <w:sz w:val="20"/>
                <w:szCs w:val="20"/>
              </w:rPr>
              <w:t>DEER 201</w:t>
            </w:r>
            <w:r w:rsidR="60B4FA58" w:rsidRPr="00E35C1C">
              <w:rPr>
                <w:rFonts w:ascii="Arial" w:hAnsi="Arial" w:cs="Arial"/>
                <w:sz w:val="20"/>
                <w:szCs w:val="20"/>
              </w:rPr>
              <w:t>9</w:t>
            </w:r>
          </w:p>
        </w:tc>
      </w:tr>
      <w:tr w:rsidR="00FD6117" w:rsidRPr="009842A2" w14:paraId="70213022" w14:textId="77777777" w:rsidTr="00A243C3">
        <w:trPr>
          <w:trHeight w:val="20"/>
        </w:trPr>
        <w:tc>
          <w:tcPr>
            <w:tcW w:w="1463" w:type="pct"/>
            <w:shd w:val="clear" w:color="auto" w:fill="auto"/>
          </w:tcPr>
          <w:p w14:paraId="61B41FEB" w14:textId="77777777" w:rsidR="00FD6117" w:rsidRPr="00E35C1C" w:rsidRDefault="00FD6117" w:rsidP="00A43F43">
            <w:pPr>
              <w:rPr>
                <w:rFonts w:ascii="Arial" w:hAnsi="Arial"/>
                <w:sz w:val="20"/>
              </w:rPr>
            </w:pPr>
            <w:r w:rsidRPr="00E35C1C">
              <w:rPr>
                <w:rFonts w:ascii="Arial" w:hAnsi="Arial"/>
                <w:sz w:val="20"/>
              </w:rPr>
              <w:t>Reason for Deviation from DEER</w:t>
            </w:r>
          </w:p>
        </w:tc>
        <w:tc>
          <w:tcPr>
            <w:tcW w:w="3537" w:type="pct"/>
            <w:shd w:val="clear" w:color="auto" w:fill="auto"/>
          </w:tcPr>
          <w:p w14:paraId="56395290" w14:textId="778ED3D6" w:rsidR="00FD6117" w:rsidRPr="00E35C1C" w:rsidRDefault="00E20468" w:rsidP="00A43F43">
            <w:pPr>
              <w:rPr>
                <w:rFonts w:ascii="Arial" w:hAnsi="Arial"/>
                <w:sz w:val="20"/>
              </w:rPr>
            </w:pPr>
            <w:r w:rsidRPr="00E35C1C">
              <w:rPr>
                <w:rFonts w:ascii="Arial" w:hAnsi="Arial" w:cs="Arial"/>
                <w:sz w:val="20"/>
                <w:szCs w:val="20"/>
              </w:rPr>
              <w:t>DEER does not contain these exact wattage ranges for the measure; DEER does not contain the percentage mix and efficacies for the base case.</w:t>
            </w:r>
          </w:p>
        </w:tc>
      </w:tr>
      <w:tr w:rsidR="00FD6117" w:rsidRPr="009842A2" w14:paraId="35F4268A" w14:textId="77777777" w:rsidTr="00A243C3">
        <w:trPr>
          <w:trHeight w:val="70"/>
        </w:trPr>
        <w:tc>
          <w:tcPr>
            <w:tcW w:w="1463" w:type="pct"/>
            <w:shd w:val="clear" w:color="auto" w:fill="auto"/>
          </w:tcPr>
          <w:p w14:paraId="44406FAE" w14:textId="77777777" w:rsidR="00FD6117" w:rsidRPr="00E35C1C" w:rsidRDefault="00FD6117" w:rsidP="00A43F43">
            <w:pPr>
              <w:rPr>
                <w:rFonts w:ascii="Arial" w:hAnsi="Arial"/>
                <w:sz w:val="20"/>
              </w:rPr>
            </w:pPr>
            <w:r w:rsidRPr="00E35C1C">
              <w:rPr>
                <w:rFonts w:ascii="Arial" w:hAnsi="Arial"/>
                <w:sz w:val="20"/>
              </w:rPr>
              <w:t>DEER Measure IDs Used</w:t>
            </w:r>
          </w:p>
        </w:tc>
        <w:tc>
          <w:tcPr>
            <w:tcW w:w="3537" w:type="pct"/>
            <w:shd w:val="clear" w:color="auto" w:fill="auto"/>
          </w:tcPr>
          <w:p w14:paraId="77092C44" w14:textId="5D7A8160" w:rsidR="00FD6117" w:rsidRPr="00E35C1C" w:rsidRDefault="00454ECB" w:rsidP="00A43F43">
            <w:pPr>
              <w:rPr>
                <w:rFonts w:ascii="Arial" w:hAnsi="Arial"/>
                <w:sz w:val="20"/>
              </w:rPr>
            </w:pPr>
            <w:r w:rsidRPr="00E35C1C">
              <w:rPr>
                <w:rFonts w:ascii="Arial" w:hAnsi="Arial" w:cs="Arial"/>
                <w:sz w:val="20"/>
                <w:szCs w:val="20"/>
              </w:rPr>
              <w:t>Yes</w:t>
            </w:r>
          </w:p>
        </w:tc>
      </w:tr>
    </w:tbl>
    <w:p w14:paraId="4A9EBEFC" w14:textId="1AA4F137" w:rsidR="00EC568D" w:rsidRPr="008D4644" w:rsidRDefault="00EC568D" w:rsidP="00EC568D">
      <w:r w:rsidRPr="008D4644">
        <w:rPr>
          <w:rFonts w:ascii="Arial" w:hAnsi="Arial"/>
          <w:b/>
          <w:sz w:val="20"/>
        </w:rPr>
        <w:lastRenderedPageBreak/>
        <w:t>Net-to-Gross</w:t>
      </w:r>
      <w:r w:rsidR="00FD6117" w:rsidRPr="008D4644">
        <w:rPr>
          <w:rFonts w:ascii="Arial" w:hAnsi="Arial"/>
          <w:b/>
          <w:sz w:val="20"/>
        </w:rPr>
        <w:t xml:space="preserve"> Ratio</w:t>
      </w:r>
      <w:r w:rsidRPr="008D4644">
        <w:rPr>
          <w:rFonts w:ascii="Arial" w:hAnsi="Arial"/>
          <w:b/>
          <w:sz w:val="20"/>
        </w:rPr>
        <w:t xml:space="preserve"> </w:t>
      </w:r>
    </w:p>
    <w:p w14:paraId="4711A2B6" w14:textId="4A15F6F8" w:rsidR="00EC568D" w:rsidRPr="00E40631" w:rsidRDefault="614944C6">
      <w:pPr>
        <w:rPr>
          <w:rFonts w:ascii="Arial" w:hAnsi="Arial"/>
          <w:sz w:val="20"/>
          <w:szCs w:val="20"/>
        </w:rPr>
      </w:pPr>
      <w:r w:rsidRPr="007B68E7">
        <w:rPr>
          <w:rFonts w:ascii="Arial" w:hAnsi="Arial"/>
          <w:sz w:val="20"/>
          <w:szCs w:val="20"/>
        </w:rPr>
        <w:t>DEER</w:t>
      </w:r>
      <w:r w:rsidR="007C6781" w:rsidRPr="007B68E7">
        <w:rPr>
          <w:rFonts w:ascii="Arial" w:hAnsi="Arial"/>
          <w:sz w:val="20"/>
          <w:szCs w:val="20"/>
        </w:rPr>
        <w:t xml:space="preserve"> </w:t>
      </w:r>
      <w:r w:rsidRPr="007B68E7">
        <w:rPr>
          <w:rFonts w:ascii="Arial" w:hAnsi="Arial"/>
          <w:sz w:val="20"/>
          <w:szCs w:val="20"/>
        </w:rPr>
        <w:t xml:space="preserve">2019 </w:t>
      </w:r>
      <w:r w:rsidR="007C6781" w:rsidRPr="007B68E7">
        <w:rPr>
          <w:rFonts w:ascii="Arial" w:hAnsi="Arial"/>
          <w:sz w:val="20"/>
          <w:szCs w:val="20"/>
        </w:rPr>
        <w:t xml:space="preserve">provided the </w:t>
      </w:r>
      <w:r w:rsidR="00F019DF" w:rsidRPr="007B68E7">
        <w:rPr>
          <w:rFonts w:ascii="Arial" w:hAnsi="Arial"/>
          <w:sz w:val="20"/>
          <w:szCs w:val="20"/>
        </w:rPr>
        <w:t xml:space="preserve">relevant NTG value for the measures in this work paper </w:t>
      </w:r>
      <w:r w:rsidR="007C6781" w:rsidRPr="007B68E7">
        <w:rPr>
          <w:rFonts w:ascii="Arial" w:hAnsi="Arial"/>
          <w:sz w:val="20"/>
          <w:szCs w:val="20"/>
        </w:rPr>
        <w:t>as</w:t>
      </w:r>
      <w:r w:rsidR="00F019DF" w:rsidRPr="007B68E7">
        <w:rPr>
          <w:rFonts w:ascii="Arial" w:hAnsi="Arial"/>
          <w:sz w:val="20"/>
          <w:szCs w:val="20"/>
        </w:rPr>
        <w:t xml:space="preserve"> listed below:</w:t>
      </w:r>
      <w:r w:rsidR="007C6781" w:rsidRPr="007B68E7">
        <w:rPr>
          <w:rFonts w:ascii="Arial" w:hAnsi="Arial"/>
          <w:sz w:val="20"/>
          <w:szCs w:val="20"/>
        </w:rPr>
        <w:t xml:space="preserve"> </w:t>
      </w:r>
    </w:p>
    <w:p w14:paraId="0A9BFFCE" w14:textId="77777777" w:rsidR="00EC568D" w:rsidRPr="008D4644" w:rsidRDefault="00EC568D" w:rsidP="00EC568D">
      <w:pPr>
        <w:pStyle w:val="Caption"/>
        <w:keepNext/>
        <w:jc w:val="center"/>
        <w:rPr>
          <w:rFonts w:ascii="Arial" w:hAnsi="Arial"/>
        </w:rPr>
      </w:pPr>
    </w:p>
    <w:p w14:paraId="1DB13397" w14:textId="6EDCBF48" w:rsidR="00EC568D" w:rsidRPr="008D4644" w:rsidRDefault="00EC568D" w:rsidP="002B40BA">
      <w:pPr>
        <w:pStyle w:val="Caption"/>
        <w:jc w:val="center"/>
        <w:rPr>
          <w:rFonts w:ascii="Arial" w:hAnsi="Arial"/>
        </w:rPr>
      </w:pPr>
      <w:bookmarkStart w:id="54" w:name="_Toc511038010"/>
      <w:bookmarkStart w:id="55" w:name="_Toc511244271"/>
      <w:bookmarkStart w:id="56" w:name="_Toc511244296"/>
      <w:bookmarkStart w:id="57" w:name="_Toc2804937"/>
      <w:r w:rsidRPr="008D4644">
        <w:t xml:space="preserve">Table </w:t>
      </w:r>
      <w:fldSimple w:instr=" SEQ Table \* ARABIC \s 1 ">
        <w:r w:rsidR="007D2501">
          <w:rPr>
            <w:noProof/>
          </w:rPr>
          <w:t>5</w:t>
        </w:r>
      </w:fldSimple>
      <w:r w:rsidR="007042ED">
        <w:t xml:space="preserve"> </w:t>
      </w:r>
      <w:r w:rsidRPr="008D4644">
        <w:t>Net-to-Gross Ratios</w:t>
      </w:r>
      <w:bookmarkEnd w:id="54"/>
      <w:bookmarkEnd w:id="55"/>
      <w:bookmarkEnd w:id="56"/>
      <w:bookmarkEnd w:id="57"/>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0"/>
        <w:gridCol w:w="4038"/>
        <w:gridCol w:w="870"/>
        <w:gridCol w:w="1261"/>
        <w:gridCol w:w="1170"/>
        <w:gridCol w:w="827"/>
      </w:tblGrid>
      <w:tr w:rsidR="00747C12" w:rsidRPr="009842A2" w14:paraId="3284B3BD" w14:textId="77777777" w:rsidTr="00E40631">
        <w:tc>
          <w:tcPr>
            <w:tcW w:w="1410" w:type="dxa"/>
            <w:shd w:val="clear" w:color="auto" w:fill="D9D9D9"/>
            <w:vAlign w:val="center"/>
          </w:tcPr>
          <w:p w14:paraId="3214F2B6" w14:textId="77777777" w:rsidR="00EC568D" w:rsidRPr="00E35C1C" w:rsidRDefault="00EC568D" w:rsidP="00E35C1C">
            <w:pPr>
              <w:jc w:val="center"/>
              <w:rPr>
                <w:rFonts w:ascii="Arial" w:hAnsi="Arial"/>
                <w:b/>
                <w:sz w:val="20"/>
              </w:rPr>
            </w:pPr>
            <w:r w:rsidRPr="00E35C1C">
              <w:rPr>
                <w:rFonts w:ascii="Arial" w:hAnsi="Arial"/>
                <w:b/>
                <w:sz w:val="20"/>
              </w:rPr>
              <w:t>NTGR ID</w:t>
            </w:r>
          </w:p>
        </w:tc>
        <w:tc>
          <w:tcPr>
            <w:tcW w:w="4038" w:type="dxa"/>
            <w:shd w:val="clear" w:color="auto" w:fill="D9D9D9"/>
            <w:vAlign w:val="center"/>
          </w:tcPr>
          <w:p w14:paraId="68AFF533" w14:textId="77777777" w:rsidR="00EC568D" w:rsidRPr="00E35C1C" w:rsidRDefault="00EC568D" w:rsidP="00E35C1C">
            <w:pPr>
              <w:jc w:val="center"/>
              <w:rPr>
                <w:rFonts w:ascii="Arial" w:hAnsi="Arial"/>
                <w:b/>
                <w:sz w:val="20"/>
              </w:rPr>
            </w:pPr>
            <w:r w:rsidRPr="00E35C1C">
              <w:rPr>
                <w:rFonts w:ascii="Arial" w:hAnsi="Arial"/>
                <w:b/>
                <w:sz w:val="20"/>
              </w:rPr>
              <w:t>Description</w:t>
            </w:r>
          </w:p>
        </w:tc>
        <w:tc>
          <w:tcPr>
            <w:tcW w:w="870" w:type="dxa"/>
            <w:shd w:val="clear" w:color="auto" w:fill="D9D9D9"/>
            <w:vAlign w:val="center"/>
          </w:tcPr>
          <w:p w14:paraId="415E9180" w14:textId="77777777" w:rsidR="00EC568D" w:rsidRPr="00E35C1C" w:rsidRDefault="00EC568D" w:rsidP="00E35C1C">
            <w:pPr>
              <w:jc w:val="center"/>
              <w:rPr>
                <w:rFonts w:ascii="Arial" w:hAnsi="Arial"/>
                <w:b/>
                <w:sz w:val="20"/>
              </w:rPr>
            </w:pPr>
            <w:r w:rsidRPr="00E35C1C">
              <w:rPr>
                <w:rFonts w:ascii="Arial" w:hAnsi="Arial"/>
                <w:b/>
                <w:sz w:val="20"/>
              </w:rPr>
              <w:t>Sector</w:t>
            </w:r>
          </w:p>
        </w:tc>
        <w:tc>
          <w:tcPr>
            <w:tcW w:w="1261" w:type="dxa"/>
            <w:shd w:val="clear" w:color="auto" w:fill="D9D9D9"/>
            <w:vAlign w:val="center"/>
          </w:tcPr>
          <w:p w14:paraId="6400AB86" w14:textId="77777777" w:rsidR="00EC568D" w:rsidRPr="00E35C1C" w:rsidRDefault="00EC568D" w:rsidP="00E35C1C">
            <w:pPr>
              <w:jc w:val="center"/>
              <w:rPr>
                <w:rFonts w:ascii="Arial" w:hAnsi="Arial"/>
                <w:b/>
                <w:sz w:val="20"/>
              </w:rPr>
            </w:pPr>
            <w:proofErr w:type="spellStart"/>
            <w:r w:rsidRPr="00E35C1C">
              <w:rPr>
                <w:rFonts w:ascii="Arial" w:hAnsi="Arial"/>
                <w:b/>
                <w:sz w:val="20"/>
              </w:rPr>
              <w:t>BldgType</w:t>
            </w:r>
            <w:proofErr w:type="spellEnd"/>
          </w:p>
        </w:tc>
        <w:tc>
          <w:tcPr>
            <w:tcW w:w="1170" w:type="dxa"/>
            <w:shd w:val="clear" w:color="auto" w:fill="D9D9D9"/>
            <w:vAlign w:val="center"/>
          </w:tcPr>
          <w:p w14:paraId="08C10D39" w14:textId="77777777" w:rsidR="00EC568D" w:rsidRPr="00E35C1C" w:rsidRDefault="00EC568D" w:rsidP="00E35C1C">
            <w:pPr>
              <w:jc w:val="center"/>
              <w:rPr>
                <w:rFonts w:ascii="Arial" w:hAnsi="Arial"/>
                <w:b/>
                <w:sz w:val="20"/>
              </w:rPr>
            </w:pPr>
            <w:r w:rsidRPr="00E35C1C">
              <w:rPr>
                <w:rFonts w:ascii="Arial" w:hAnsi="Arial"/>
                <w:b/>
                <w:sz w:val="20"/>
              </w:rPr>
              <w:t>Delivery Method</w:t>
            </w:r>
          </w:p>
        </w:tc>
        <w:tc>
          <w:tcPr>
            <w:tcW w:w="827" w:type="dxa"/>
            <w:shd w:val="clear" w:color="auto" w:fill="D9D9D9"/>
            <w:vAlign w:val="center"/>
          </w:tcPr>
          <w:p w14:paraId="7124F981" w14:textId="77777777" w:rsidR="00EC568D" w:rsidRPr="00E35C1C" w:rsidRDefault="00EC568D" w:rsidP="00E35C1C">
            <w:pPr>
              <w:jc w:val="center"/>
              <w:rPr>
                <w:rFonts w:ascii="Arial" w:hAnsi="Arial"/>
                <w:b/>
                <w:sz w:val="20"/>
              </w:rPr>
            </w:pPr>
            <w:r w:rsidRPr="00E35C1C">
              <w:rPr>
                <w:rFonts w:ascii="Arial" w:hAnsi="Arial"/>
                <w:b/>
                <w:sz w:val="20"/>
              </w:rPr>
              <w:t>NTGR</w:t>
            </w:r>
          </w:p>
        </w:tc>
      </w:tr>
      <w:tr w:rsidR="009F14ED" w:rsidRPr="009842A2" w14:paraId="57937D34" w14:textId="77777777" w:rsidTr="00E40631">
        <w:tc>
          <w:tcPr>
            <w:tcW w:w="1410" w:type="dxa"/>
            <w:shd w:val="clear" w:color="auto" w:fill="auto"/>
            <w:vAlign w:val="center"/>
          </w:tcPr>
          <w:p w14:paraId="27F02677" w14:textId="47B07185" w:rsidR="00EC568D" w:rsidRPr="00E40631" w:rsidRDefault="5C5A8AB8">
            <w:pPr>
              <w:jc w:val="center"/>
              <w:rPr>
                <w:rFonts w:ascii="Arial" w:hAnsi="Arial"/>
                <w:sz w:val="20"/>
                <w:szCs w:val="20"/>
              </w:rPr>
            </w:pPr>
            <w:proofErr w:type="spellStart"/>
            <w:r w:rsidRPr="00E40631">
              <w:rPr>
                <w:rFonts w:ascii="Arial" w:eastAsia="Arial" w:hAnsi="Arial" w:cs="Arial"/>
                <w:sz w:val="20"/>
                <w:szCs w:val="20"/>
              </w:rPr>
              <w:t>NonRes</w:t>
            </w:r>
            <w:proofErr w:type="spellEnd"/>
            <w:r w:rsidRPr="00E40631">
              <w:rPr>
                <w:rFonts w:ascii="Arial" w:eastAsia="Arial" w:hAnsi="Arial" w:cs="Arial"/>
                <w:sz w:val="20"/>
                <w:szCs w:val="20"/>
              </w:rPr>
              <w:t>-In-</w:t>
            </w:r>
            <w:proofErr w:type="spellStart"/>
            <w:r w:rsidRPr="00E40631">
              <w:rPr>
                <w:rFonts w:ascii="Arial" w:eastAsia="Arial" w:hAnsi="Arial" w:cs="Arial"/>
                <w:sz w:val="20"/>
                <w:szCs w:val="20"/>
              </w:rPr>
              <w:t>Ltg</w:t>
            </w:r>
            <w:proofErr w:type="spellEnd"/>
            <w:r w:rsidRPr="00E40631">
              <w:rPr>
                <w:rFonts w:ascii="Arial" w:eastAsia="Arial" w:hAnsi="Arial" w:cs="Arial"/>
                <w:sz w:val="20"/>
                <w:szCs w:val="20"/>
              </w:rPr>
              <w:t>-</w:t>
            </w:r>
            <w:proofErr w:type="spellStart"/>
            <w:r w:rsidRPr="00E40631">
              <w:rPr>
                <w:rFonts w:ascii="Arial" w:eastAsia="Arial" w:hAnsi="Arial" w:cs="Arial"/>
                <w:sz w:val="20"/>
                <w:szCs w:val="20"/>
              </w:rPr>
              <w:t>LEDFixt</w:t>
            </w:r>
            <w:proofErr w:type="spellEnd"/>
          </w:p>
        </w:tc>
        <w:tc>
          <w:tcPr>
            <w:tcW w:w="4038" w:type="dxa"/>
            <w:shd w:val="clear" w:color="auto" w:fill="auto"/>
            <w:vAlign w:val="center"/>
          </w:tcPr>
          <w:p w14:paraId="43005DAD" w14:textId="2D25EDC9" w:rsidR="00EC568D" w:rsidRPr="00E40631" w:rsidRDefault="1132E2FF" w:rsidP="00E40631">
            <w:pPr>
              <w:rPr>
                <w:rFonts w:ascii="Arial" w:hAnsi="Arial"/>
                <w:sz w:val="20"/>
                <w:szCs w:val="20"/>
              </w:rPr>
            </w:pPr>
            <w:r w:rsidRPr="00E40631">
              <w:rPr>
                <w:rFonts w:ascii="Arial" w:eastAsia="Arial" w:hAnsi="Arial" w:cs="Arial"/>
                <w:sz w:val="20"/>
                <w:szCs w:val="20"/>
              </w:rPr>
              <w:t>Nonresidential interior hardwired LED fixtures using delta-Watts savings methods</w:t>
            </w:r>
            <w:r w:rsidR="1AFE1010" w:rsidRPr="00E40631">
              <w:rPr>
                <w:rFonts w:ascii="Arial" w:eastAsia="Arial" w:hAnsi="Arial" w:cs="Arial"/>
                <w:sz w:val="20"/>
                <w:szCs w:val="20"/>
              </w:rPr>
              <w:t>.</w:t>
            </w:r>
            <w:r w:rsidR="23A8DE31" w:rsidRPr="00E40631">
              <w:rPr>
                <w:rFonts w:ascii="Arial" w:eastAsia="Arial" w:hAnsi="Arial" w:cs="Arial"/>
                <w:sz w:val="20"/>
                <w:szCs w:val="20"/>
              </w:rPr>
              <w:t xml:space="preserve"> </w:t>
            </w:r>
            <w:r w:rsidR="7FC9B46F" w:rsidRPr="00E40631">
              <w:rPr>
                <w:rFonts w:ascii="Arial" w:eastAsia="Arial" w:hAnsi="Arial" w:cs="Arial"/>
                <w:sz w:val="20"/>
                <w:szCs w:val="20"/>
              </w:rPr>
              <w:t>The full NTG value of 0.91 shall be used for the above code savings.</w:t>
            </w:r>
          </w:p>
        </w:tc>
        <w:tc>
          <w:tcPr>
            <w:tcW w:w="870" w:type="dxa"/>
            <w:shd w:val="clear" w:color="auto" w:fill="auto"/>
            <w:vAlign w:val="center"/>
          </w:tcPr>
          <w:p w14:paraId="00168367" w14:textId="77777777" w:rsidR="00EC568D" w:rsidRPr="00E35C1C" w:rsidRDefault="00EC568D" w:rsidP="00E35C1C">
            <w:pPr>
              <w:jc w:val="center"/>
              <w:rPr>
                <w:rFonts w:ascii="Arial" w:hAnsi="Arial"/>
                <w:sz w:val="20"/>
              </w:rPr>
            </w:pPr>
            <w:r w:rsidRPr="00E35C1C">
              <w:rPr>
                <w:rFonts w:ascii="Arial" w:hAnsi="Arial"/>
                <w:sz w:val="20"/>
              </w:rPr>
              <w:t>Com</w:t>
            </w:r>
          </w:p>
        </w:tc>
        <w:tc>
          <w:tcPr>
            <w:tcW w:w="1261" w:type="dxa"/>
            <w:shd w:val="clear" w:color="auto" w:fill="auto"/>
            <w:vAlign w:val="center"/>
          </w:tcPr>
          <w:p w14:paraId="7ABBB9D1" w14:textId="77777777" w:rsidR="00EC568D" w:rsidRPr="00E35C1C" w:rsidRDefault="00EC568D" w:rsidP="00E35C1C">
            <w:pPr>
              <w:jc w:val="center"/>
              <w:rPr>
                <w:rFonts w:ascii="Arial" w:hAnsi="Arial"/>
                <w:sz w:val="20"/>
              </w:rPr>
            </w:pPr>
            <w:r w:rsidRPr="00E35C1C">
              <w:rPr>
                <w:rFonts w:ascii="Arial" w:hAnsi="Arial"/>
                <w:sz w:val="20"/>
              </w:rPr>
              <w:t>Any</w:t>
            </w:r>
          </w:p>
        </w:tc>
        <w:tc>
          <w:tcPr>
            <w:tcW w:w="1170" w:type="dxa"/>
            <w:shd w:val="clear" w:color="auto" w:fill="auto"/>
            <w:vAlign w:val="center"/>
          </w:tcPr>
          <w:p w14:paraId="0ED477FF" w14:textId="13EF54C1" w:rsidR="00EC568D" w:rsidRPr="00E40631" w:rsidRDefault="00EC568D">
            <w:pPr>
              <w:jc w:val="center"/>
              <w:rPr>
                <w:rFonts w:ascii="Arial" w:hAnsi="Arial"/>
                <w:sz w:val="20"/>
                <w:szCs w:val="20"/>
              </w:rPr>
            </w:pPr>
            <w:r w:rsidRPr="007B68E7">
              <w:rPr>
                <w:rFonts w:ascii="Arial" w:hAnsi="Arial"/>
                <w:sz w:val="20"/>
                <w:szCs w:val="20"/>
              </w:rPr>
              <w:t>A</w:t>
            </w:r>
            <w:r w:rsidR="7FC9B46F" w:rsidRPr="007B68E7">
              <w:rPr>
                <w:rFonts w:ascii="Arial" w:hAnsi="Arial"/>
                <w:sz w:val="20"/>
                <w:szCs w:val="20"/>
              </w:rPr>
              <w:t>ll</w:t>
            </w:r>
          </w:p>
        </w:tc>
        <w:tc>
          <w:tcPr>
            <w:tcW w:w="827" w:type="dxa"/>
            <w:shd w:val="clear" w:color="auto" w:fill="auto"/>
            <w:vAlign w:val="center"/>
          </w:tcPr>
          <w:p w14:paraId="080C3680" w14:textId="3A352D50" w:rsidR="00EC568D" w:rsidRPr="00E35C1C" w:rsidRDefault="00EC568D" w:rsidP="00E35C1C">
            <w:pPr>
              <w:jc w:val="center"/>
              <w:rPr>
                <w:rFonts w:ascii="Arial" w:hAnsi="Arial"/>
                <w:sz w:val="20"/>
              </w:rPr>
            </w:pPr>
            <w:r w:rsidRPr="00E35C1C">
              <w:rPr>
                <w:rFonts w:ascii="Arial" w:hAnsi="Arial"/>
                <w:sz w:val="20"/>
              </w:rPr>
              <w:t>0.</w:t>
            </w:r>
            <w:r w:rsidR="007B2DD3" w:rsidRPr="00E35C1C">
              <w:rPr>
                <w:rFonts w:ascii="Arial" w:hAnsi="Arial"/>
                <w:sz w:val="20"/>
              </w:rPr>
              <w:t>91</w:t>
            </w:r>
          </w:p>
        </w:tc>
      </w:tr>
    </w:tbl>
    <w:p w14:paraId="50371047" w14:textId="77777777" w:rsidR="00EC568D" w:rsidRPr="009842A2" w:rsidRDefault="00EC568D" w:rsidP="00EC568D">
      <w:pPr>
        <w:rPr>
          <w:b/>
          <w:szCs w:val="20"/>
          <w:highlight w:val="yellow"/>
        </w:rPr>
      </w:pPr>
    </w:p>
    <w:p w14:paraId="022E7D26" w14:textId="77777777" w:rsidR="008D4644" w:rsidRDefault="008D4644" w:rsidP="00EC568D">
      <w:pPr>
        <w:rPr>
          <w:rFonts w:ascii="Arial" w:hAnsi="Arial" w:cs="Arial"/>
          <w:b/>
          <w:sz w:val="20"/>
          <w:szCs w:val="20"/>
          <w:highlight w:val="yellow"/>
        </w:rPr>
      </w:pPr>
    </w:p>
    <w:p w14:paraId="6B784C35" w14:textId="2650BB4F" w:rsidR="00EC568D" w:rsidRPr="008D4644" w:rsidRDefault="00EC568D" w:rsidP="00EC568D">
      <w:pPr>
        <w:rPr>
          <w:rFonts w:ascii="Arial" w:hAnsi="Arial"/>
          <w:b/>
          <w:sz w:val="20"/>
        </w:rPr>
      </w:pPr>
      <w:r w:rsidRPr="008D4644">
        <w:rPr>
          <w:rFonts w:ascii="Arial" w:hAnsi="Arial"/>
          <w:b/>
          <w:sz w:val="20"/>
        </w:rPr>
        <w:t>Spillage Rate</w:t>
      </w:r>
    </w:p>
    <w:p w14:paraId="011073FC" w14:textId="77777777" w:rsidR="00EC568D" w:rsidRPr="008D4644" w:rsidRDefault="00EC568D" w:rsidP="00EC568D">
      <w:pPr>
        <w:rPr>
          <w:rFonts w:ascii="Arial" w:hAnsi="Arial"/>
          <w:sz w:val="20"/>
        </w:rPr>
      </w:pPr>
      <w:r w:rsidRPr="008D4644">
        <w:rPr>
          <w:rFonts w:ascii="Arial" w:hAnsi="Arial"/>
          <w:sz w:val="20"/>
        </w:rPr>
        <w:t>Spillage rates are not tracked in work papers; they are tracked in an external document which will be supplied to the Commission Staff.</w:t>
      </w:r>
    </w:p>
    <w:p w14:paraId="6F3E3F38" w14:textId="77777777" w:rsidR="00EC568D" w:rsidRPr="008D4644" w:rsidRDefault="00EC568D" w:rsidP="00EC568D">
      <w:pPr>
        <w:rPr>
          <w:rFonts w:ascii="Arial" w:hAnsi="Arial"/>
          <w:b/>
          <w:sz w:val="20"/>
        </w:rPr>
      </w:pPr>
    </w:p>
    <w:p w14:paraId="420C3BC9" w14:textId="52CADD8E" w:rsidR="00EC568D" w:rsidRPr="008D4644" w:rsidRDefault="00EC568D" w:rsidP="00EC568D">
      <w:pPr>
        <w:rPr>
          <w:rFonts w:ascii="Arial" w:hAnsi="Arial"/>
          <w:b/>
          <w:sz w:val="20"/>
        </w:rPr>
      </w:pPr>
      <w:r w:rsidRPr="008D4644">
        <w:rPr>
          <w:rFonts w:ascii="Arial" w:hAnsi="Arial"/>
          <w:b/>
          <w:sz w:val="20"/>
        </w:rPr>
        <w:t>Installation Rate</w:t>
      </w:r>
    </w:p>
    <w:p w14:paraId="7B2CD429" w14:textId="61CD7288" w:rsidR="000B6B1A" w:rsidRPr="000B6B1A" w:rsidRDefault="00EC568D" w:rsidP="00EC568D">
      <w:pPr>
        <w:rPr>
          <w:rFonts w:ascii="Arial" w:hAnsi="Arial"/>
          <w:sz w:val="20"/>
        </w:rPr>
      </w:pPr>
      <w:r w:rsidRPr="008D4644">
        <w:rPr>
          <w:rFonts w:ascii="Arial" w:hAnsi="Arial"/>
          <w:sz w:val="20"/>
        </w:rPr>
        <w:t xml:space="preserve">The IR value was obtained using the DEER READI tool. The relevant IR value for these measures in </w:t>
      </w:r>
      <w:r w:rsidR="736173E6" w:rsidRPr="736173E6">
        <w:rPr>
          <w:rFonts w:ascii="Arial" w:hAnsi="Arial"/>
          <w:sz w:val="20"/>
          <w:szCs w:val="20"/>
        </w:rPr>
        <w:t>this</w:t>
      </w:r>
      <w:r w:rsidRPr="008D4644">
        <w:rPr>
          <w:rFonts w:ascii="Arial" w:hAnsi="Arial"/>
          <w:sz w:val="20"/>
        </w:rPr>
        <w:t xml:space="preserve"> work paper is in the table below.</w:t>
      </w:r>
    </w:p>
    <w:p w14:paraId="404AD10C" w14:textId="77777777" w:rsidR="00EC568D" w:rsidRPr="008D4644" w:rsidRDefault="00EC568D" w:rsidP="00EC568D">
      <w:pPr>
        <w:rPr>
          <w:rFonts w:ascii="Arial" w:hAnsi="Arial"/>
          <w:sz w:val="16"/>
        </w:rPr>
      </w:pPr>
    </w:p>
    <w:p w14:paraId="114284AA" w14:textId="2279AD1C" w:rsidR="00EC568D" w:rsidRPr="008D4644" w:rsidRDefault="00EC568D" w:rsidP="00EC568D">
      <w:pPr>
        <w:pStyle w:val="Caption"/>
        <w:keepNext/>
        <w:jc w:val="center"/>
      </w:pPr>
      <w:bookmarkStart w:id="58" w:name="_Toc438530567"/>
      <w:bookmarkStart w:id="59" w:name="_Toc511038011"/>
      <w:bookmarkStart w:id="60" w:name="_Toc511244272"/>
      <w:bookmarkStart w:id="61" w:name="_Toc511244297"/>
      <w:bookmarkStart w:id="62" w:name="_Toc2804938"/>
      <w:r w:rsidRPr="008D4644">
        <w:t xml:space="preserve">Table </w:t>
      </w:r>
      <w:fldSimple w:instr=" SEQ Table \* ARABIC ">
        <w:r w:rsidR="007D2501">
          <w:rPr>
            <w:noProof/>
          </w:rPr>
          <w:t>6</w:t>
        </w:r>
      </w:fldSimple>
      <w:r w:rsidR="007042ED">
        <w:t xml:space="preserve"> </w:t>
      </w:r>
      <w:r w:rsidRPr="008D4644">
        <w:t>Installation Rates</w:t>
      </w:r>
      <w:bookmarkEnd w:id="58"/>
      <w:bookmarkEnd w:id="59"/>
      <w:bookmarkEnd w:id="60"/>
      <w:bookmarkEnd w:id="61"/>
      <w:bookmarkEnd w:id="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2"/>
        <w:gridCol w:w="2677"/>
        <w:gridCol w:w="1306"/>
        <w:gridCol w:w="1632"/>
        <w:gridCol w:w="1350"/>
        <w:gridCol w:w="1239"/>
      </w:tblGrid>
      <w:tr w:rsidR="009F14ED" w:rsidRPr="009842A2" w14:paraId="3271F282" w14:textId="77777777" w:rsidTr="00E40631">
        <w:tc>
          <w:tcPr>
            <w:tcW w:w="716" w:type="pct"/>
            <w:shd w:val="clear" w:color="auto" w:fill="D9D9D9"/>
            <w:vAlign w:val="center"/>
          </w:tcPr>
          <w:p w14:paraId="3FE8364A" w14:textId="77777777" w:rsidR="00EC568D" w:rsidRPr="00E40631" w:rsidRDefault="00EC568D">
            <w:pPr>
              <w:jc w:val="center"/>
              <w:rPr>
                <w:rFonts w:ascii="Arial" w:hAnsi="Arial"/>
                <w:b/>
                <w:bCs/>
                <w:sz w:val="20"/>
                <w:szCs w:val="20"/>
              </w:rPr>
            </w:pPr>
            <w:r w:rsidRPr="007B68E7">
              <w:rPr>
                <w:rFonts w:ascii="Arial" w:hAnsi="Arial"/>
                <w:b/>
                <w:bCs/>
                <w:sz w:val="20"/>
                <w:szCs w:val="20"/>
              </w:rPr>
              <w:t>GSIA ID</w:t>
            </w:r>
          </w:p>
        </w:tc>
        <w:tc>
          <w:tcPr>
            <w:tcW w:w="1398" w:type="pct"/>
            <w:shd w:val="clear" w:color="auto" w:fill="D9D9D9"/>
            <w:vAlign w:val="center"/>
          </w:tcPr>
          <w:p w14:paraId="4A778821" w14:textId="77777777" w:rsidR="00EC568D" w:rsidRPr="00E40631" w:rsidRDefault="00EC568D">
            <w:pPr>
              <w:jc w:val="center"/>
              <w:rPr>
                <w:rFonts w:ascii="Arial" w:hAnsi="Arial"/>
                <w:b/>
                <w:bCs/>
                <w:sz w:val="20"/>
                <w:szCs w:val="20"/>
              </w:rPr>
            </w:pPr>
            <w:r w:rsidRPr="007B68E7">
              <w:rPr>
                <w:rFonts w:ascii="Arial" w:hAnsi="Arial"/>
                <w:b/>
                <w:bCs/>
                <w:sz w:val="20"/>
                <w:szCs w:val="20"/>
              </w:rPr>
              <w:t>Description</w:t>
            </w:r>
          </w:p>
        </w:tc>
        <w:tc>
          <w:tcPr>
            <w:tcW w:w="682" w:type="pct"/>
            <w:shd w:val="clear" w:color="auto" w:fill="D9D9D9"/>
            <w:vAlign w:val="center"/>
          </w:tcPr>
          <w:p w14:paraId="66AE2C42" w14:textId="77777777" w:rsidR="00EC568D" w:rsidRPr="00E40631" w:rsidRDefault="00EC568D">
            <w:pPr>
              <w:jc w:val="center"/>
              <w:rPr>
                <w:rFonts w:ascii="Arial" w:hAnsi="Arial"/>
                <w:b/>
                <w:bCs/>
                <w:sz w:val="20"/>
                <w:szCs w:val="20"/>
              </w:rPr>
            </w:pPr>
            <w:r w:rsidRPr="007B68E7">
              <w:rPr>
                <w:rFonts w:ascii="Arial" w:hAnsi="Arial"/>
                <w:b/>
                <w:bCs/>
                <w:sz w:val="20"/>
                <w:szCs w:val="20"/>
              </w:rPr>
              <w:t>Sector</w:t>
            </w:r>
          </w:p>
        </w:tc>
        <w:tc>
          <w:tcPr>
            <w:tcW w:w="852" w:type="pct"/>
            <w:shd w:val="clear" w:color="auto" w:fill="D9D9D9"/>
            <w:vAlign w:val="center"/>
          </w:tcPr>
          <w:p w14:paraId="42E4CAC0" w14:textId="77777777" w:rsidR="00EC568D" w:rsidRPr="00E40631" w:rsidRDefault="00EC568D">
            <w:pPr>
              <w:jc w:val="center"/>
              <w:rPr>
                <w:rFonts w:ascii="Arial" w:hAnsi="Arial"/>
                <w:b/>
                <w:bCs/>
                <w:sz w:val="20"/>
                <w:szCs w:val="20"/>
              </w:rPr>
            </w:pPr>
            <w:proofErr w:type="spellStart"/>
            <w:r w:rsidRPr="007B68E7">
              <w:rPr>
                <w:rFonts w:ascii="Arial" w:hAnsi="Arial"/>
                <w:b/>
                <w:bCs/>
                <w:sz w:val="20"/>
                <w:szCs w:val="20"/>
              </w:rPr>
              <w:t>BldgType</w:t>
            </w:r>
            <w:proofErr w:type="spellEnd"/>
          </w:p>
        </w:tc>
        <w:tc>
          <w:tcPr>
            <w:tcW w:w="705" w:type="pct"/>
            <w:shd w:val="clear" w:color="auto" w:fill="D9D9D9"/>
            <w:vAlign w:val="center"/>
          </w:tcPr>
          <w:p w14:paraId="5E42FB5E" w14:textId="77777777" w:rsidR="00EC568D" w:rsidRPr="00E40631" w:rsidRDefault="00EC568D">
            <w:pPr>
              <w:jc w:val="center"/>
              <w:rPr>
                <w:rFonts w:ascii="Arial" w:hAnsi="Arial"/>
                <w:b/>
                <w:bCs/>
                <w:sz w:val="20"/>
                <w:szCs w:val="20"/>
              </w:rPr>
            </w:pPr>
            <w:proofErr w:type="spellStart"/>
            <w:r w:rsidRPr="007B68E7">
              <w:rPr>
                <w:rFonts w:ascii="Arial" w:hAnsi="Arial"/>
                <w:b/>
                <w:bCs/>
                <w:sz w:val="20"/>
                <w:szCs w:val="20"/>
              </w:rPr>
              <w:t>ProgDelivID</w:t>
            </w:r>
            <w:proofErr w:type="spellEnd"/>
          </w:p>
        </w:tc>
        <w:tc>
          <w:tcPr>
            <w:tcW w:w="647" w:type="pct"/>
            <w:shd w:val="clear" w:color="auto" w:fill="D9D9D9"/>
            <w:vAlign w:val="center"/>
          </w:tcPr>
          <w:p w14:paraId="4AB23A43" w14:textId="77777777" w:rsidR="00EC568D" w:rsidRPr="00E40631" w:rsidRDefault="00EC568D">
            <w:pPr>
              <w:jc w:val="center"/>
              <w:rPr>
                <w:rFonts w:ascii="Arial" w:hAnsi="Arial"/>
                <w:b/>
                <w:bCs/>
                <w:sz w:val="20"/>
                <w:szCs w:val="20"/>
              </w:rPr>
            </w:pPr>
            <w:proofErr w:type="spellStart"/>
            <w:r w:rsidRPr="007B68E7">
              <w:rPr>
                <w:rFonts w:ascii="Arial" w:hAnsi="Arial"/>
                <w:b/>
                <w:bCs/>
                <w:sz w:val="20"/>
                <w:szCs w:val="20"/>
              </w:rPr>
              <w:t>GSIAValue</w:t>
            </w:r>
            <w:proofErr w:type="spellEnd"/>
          </w:p>
        </w:tc>
      </w:tr>
      <w:tr w:rsidR="009F14ED" w:rsidRPr="009842A2" w14:paraId="3F4177F3" w14:textId="77777777" w:rsidTr="00E40631">
        <w:tc>
          <w:tcPr>
            <w:tcW w:w="716" w:type="pct"/>
            <w:shd w:val="clear" w:color="auto" w:fill="auto"/>
            <w:vAlign w:val="center"/>
          </w:tcPr>
          <w:p w14:paraId="58713AB8" w14:textId="77777777" w:rsidR="00EC568D" w:rsidRPr="00E40631" w:rsidRDefault="00EC568D">
            <w:pPr>
              <w:jc w:val="center"/>
              <w:rPr>
                <w:rFonts w:ascii="Arial" w:hAnsi="Arial"/>
                <w:sz w:val="20"/>
                <w:szCs w:val="20"/>
              </w:rPr>
            </w:pPr>
            <w:r w:rsidRPr="00E40631">
              <w:rPr>
                <w:rFonts w:ascii="Arial" w:hAnsi="Arial"/>
                <w:sz w:val="20"/>
                <w:szCs w:val="20"/>
              </w:rPr>
              <w:t>Com-</w:t>
            </w:r>
            <w:proofErr w:type="spellStart"/>
            <w:r w:rsidRPr="00E40631">
              <w:rPr>
                <w:rFonts w:ascii="Arial" w:hAnsi="Arial"/>
                <w:sz w:val="20"/>
                <w:szCs w:val="20"/>
              </w:rPr>
              <w:t>HiBay</w:t>
            </w:r>
            <w:proofErr w:type="spellEnd"/>
            <w:r w:rsidRPr="00E40631">
              <w:rPr>
                <w:rFonts w:ascii="Arial" w:hAnsi="Arial"/>
                <w:sz w:val="20"/>
                <w:szCs w:val="20"/>
              </w:rPr>
              <w:t>-PGE</w:t>
            </w:r>
          </w:p>
        </w:tc>
        <w:tc>
          <w:tcPr>
            <w:tcW w:w="1398" w:type="pct"/>
            <w:shd w:val="clear" w:color="auto" w:fill="auto"/>
            <w:vAlign w:val="center"/>
          </w:tcPr>
          <w:p w14:paraId="0AE6885A" w14:textId="77777777" w:rsidR="00EC568D" w:rsidRPr="00E40631" w:rsidRDefault="00EC568D">
            <w:pPr>
              <w:jc w:val="center"/>
              <w:rPr>
                <w:rFonts w:ascii="Arial" w:hAnsi="Arial"/>
                <w:sz w:val="20"/>
                <w:szCs w:val="20"/>
              </w:rPr>
            </w:pPr>
            <w:r w:rsidRPr="00E40631">
              <w:rPr>
                <w:rFonts w:ascii="Arial" w:hAnsi="Arial"/>
                <w:sz w:val="20"/>
                <w:szCs w:val="20"/>
              </w:rPr>
              <w:t>Non-Res High-Bay; Annual Installation Rate</w:t>
            </w:r>
          </w:p>
        </w:tc>
        <w:tc>
          <w:tcPr>
            <w:tcW w:w="682" w:type="pct"/>
            <w:shd w:val="clear" w:color="auto" w:fill="auto"/>
            <w:vAlign w:val="center"/>
          </w:tcPr>
          <w:p w14:paraId="4909A090" w14:textId="77777777" w:rsidR="00EC568D" w:rsidRPr="00E40631" w:rsidRDefault="00EC568D">
            <w:pPr>
              <w:jc w:val="center"/>
              <w:rPr>
                <w:rFonts w:ascii="Arial" w:hAnsi="Arial"/>
                <w:sz w:val="20"/>
                <w:szCs w:val="20"/>
              </w:rPr>
            </w:pPr>
            <w:r w:rsidRPr="00E40631">
              <w:rPr>
                <w:rFonts w:ascii="Arial" w:hAnsi="Arial"/>
                <w:sz w:val="20"/>
                <w:szCs w:val="20"/>
              </w:rPr>
              <w:t>Com</w:t>
            </w:r>
          </w:p>
        </w:tc>
        <w:tc>
          <w:tcPr>
            <w:tcW w:w="852" w:type="pct"/>
            <w:shd w:val="clear" w:color="auto" w:fill="auto"/>
            <w:vAlign w:val="center"/>
          </w:tcPr>
          <w:p w14:paraId="1161932D" w14:textId="77777777" w:rsidR="00EC568D" w:rsidRPr="00E40631" w:rsidRDefault="00EC568D">
            <w:pPr>
              <w:jc w:val="center"/>
              <w:rPr>
                <w:rFonts w:ascii="Arial" w:hAnsi="Arial"/>
                <w:sz w:val="20"/>
                <w:szCs w:val="20"/>
              </w:rPr>
            </w:pPr>
            <w:r w:rsidRPr="00E40631">
              <w:rPr>
                <w:rFonts w:ascii="Arial" w:hAnsi="Arial"/>
                <w:sz w:val="20"/>
                <w:szCs w:val="20"/>
              </w:rPr>
              <w:t>Any</w:t>
            </w:r>
          </w:p>
        </w:tc>
        <w:tc>
          <w:tcPr>
            <w:tcW w:w="705" w:type="pct"/>
            <w:shd w:val="clear" w:color="auto" w:fill="auto"/>
            <w:vAlign w:val="center"/>
          </w:tcPr>
          <w:p w14:paraId="6757D72C" w14:textId="77777777" w:rsidR="00EC568D" w:rsidRPr="00E40631" w:rsidRDefault="00EC568D">
            <w:pPr>
              <w:jc w:val="center"/>
              <w:rPr>
                <w:rFonts w:ascii="Arial" w:hAnsi="Arial"/>
                <w:sz w:val="20"/>
                <w:szCs w:val="20"/>
              </w:rPr>
            </w:pPr>
            <w:proofErr w:type="spellStart"/>
            <w:r w:rsidRPr="00E40631">
              <w:rPr>
                <w:rFonts w:ascii="Arial" w:hAnsi="Arial"/>
                <w:sz w:val="20"/>
                <w:szCs w:val="20"/>
              </w:rPr>
              <w:t>NonUpStrm</w:t>
            </w:r>
            <w:proofErr w:type="spellEnd"/>
          </w:p>
        </w:tc>
        <w:tc>
          <w:tcPr>
            <w:tcW w:w="647" w:type="pct"/>
            <w:shd w:val="clear" w:color="auto" w:fill="auto"/>
            <w:vAlign w:val="center"/>
          </w:tcPr>
          <w:p w14:paraId="2FE6AB2C" w14:textId="77777777" w:rsidR="00EC568D" w:rsidRPr="00E40631" w:rsidRDefault="00EC568D">
            <w:pPr>
              <w:jc w:val="center"/>
              <w:rPr>
                <w:rFonts w:ascii="Arial" w:hAnsi="Arial"/>
                <w:sz w:val="20"/>
                <w:szCs w:val="20"/>
              </w:rPr>
            </w:pPr>
            <w:r w:rsidRPr="00E40631">
              <w:rPr>
                <w:rFonts w:ascii="Arial" w:hAnsi="Arial"/>
                <w:sz w:val="20"/>
                <w:szCs w:val="20"/>
              </w:rPr>
              <w:t>0.92</w:t>
            </w:r>
          </w:p>
        </w:tc>
      </w:tr>
    </w:tbl>
    <w:p w14:paraId="5DD0B69D" w14:textId="59AE2C3E" w:rsidR="00FD6117" w:rsidRPr="008D4644" w:rsidRDefault="00FD6117" w:rsidP="00EC568D">
      <w:pPr>
        <w:ind w:left="720"/>
        <w:rPr>
          <w:rFonts w:ascii="Arial" w:hAnsi="Arial"/>
          <w:sz w:val="20"/>
        </w:rPr>
      </w:pPr>
    </w:p>
    <w:p w14:paraId="094A9D7B" w14:textId="77777777" w:rsidR="000B6B1A" w:rsidRDefault="000B6B1A" w:rsidP="00FD6117">
      <w:pPr>
        <w:rPr>
          <w:rFonts w:ascii="Arial" w:hAnsi="Arial"/>
          <w:b/>
          <w:sz w:val="20"/>
        </w:rPr>
        <w:sectPr w:rsidR="000B6B1A" w:rsidSect="009004FA">
          <w:headerReference w:type="default" r:id="rId16"/>
          <w:footerReference w:type="default" r:id="rId17"/>
          <w:endnotePr>
            <w:numFmt w:val="decimal"/>
          </w:endnotePr>
          <w:type w:val="continuous"/>
          <w:pgSz w:w="12240" w:h="15840"/>
          <w:pgMar w:top="1440" w:right="1440" w:bottom="1440" w:left="1440" w:header="720" w:footer="720" w:gutter="0"/>
          <w:pgNumType w:start="1"/>
          <w:cols w:space="720"/>
          <w:docGrid w:linePitch="360"/>
        </w:sectPr>
      </w:pPr>
    </w:p>
    <w:p w14:paraId="630B9FC3" w14:textId="57C05A07" w:rsidR="00FD6117" w:rsidRPr="003B01FE" w:rsidRDefault="00FD6117" w:rsidP="00FD6117">
      <w:pPr>
        <w:rPr>
          <w:rFonts w:ascii="Arial" w:hAnsi="Arial"/>
          <w:b/>
          <w:sz w:val="20"/>
        </w:rPr>
      </w:pPr>
      <w:r w:rsidRPr="003B01FE">
        <w:rPr>
          <w:rFonts w:ascii="Arial" w:hAnsi="Arial"/>
          <w:b/>
          <w:sz w:val="20"/>
        </w:rPr>
        <w:lastRenderedPageBreak/>
        <w:t>Hours of Operation</w:t>
      </w:r>
    </w:p>
    <w:p w14:paraId="7851D2E4" w14:textId="23A8C89B" w:rsidR="00FD6117" w:rsidRPr="00E40631" w:rsidRDefault="00FD6117">
      <w:pPr>
        <w:tabs>
          <w:tab w:val="left" w:pos="6435"/>
        </w:tabs>
        <w:rPr>
          <w:rFonts w:ascii="Arial" w:hAnsi="Arial"/>
          <w:sz w:val="20"/>
          <w:szCs w:val="20"/>
        </w:rPr>
      </w:pPr>
      <w:r w:rsidRPr="00E40631">
        <w:rPr>
          <w:rFonts w:ascii="Arial" w:hAnsi="Arial"/>
          <w:sz w:val="20"/>
          <w:szCs w:val="20"/>
        </w:rPr>
        <w:t xml:space="preserve">The DEER 2016 hours of operation and interactive effects are used </w:t>
      </w:r>
      <w:r w:rsidR="00E20468" w:rsidRPr="00E40631">
        <w:rPr>
          <w:rFonts w:ascii="Arial" w:hAnsi="Arial"/>
          <w:sz w:val="20"/>
          <w:szCs w:val="20"/>
        </w:rPr>
        <w:t>in</w:t>
      </w:r>
      <w:r w:rsidRPr="00E40631">
        <w:rPr>
          <w:rFonts w:ascii="Arial" w:hAnsi="Arial"/>
          <w:sz w:val="20"/>
          <w:szCs w:val="20"/>
        </w:rPr>
        <w:t xml:space="preserve"> </w:t>
      </w:r>
      <w:r w:rsidR="00E20468" w:rsidRPr="00E40631">
        <w:rPr>
          <w:rFonts w:ascii="Arial" w:hAnsi="Arial"/>
          <w:sz w:val="20"/>
          <w:szCs w:val="20"/>
        </w:rPr>
        <w:t>the</w:t>
      </w:r>
      <w:r w:rsidRPr="00E40631">
        <w:rPr>
          <w:rFonts w:ascii="Arial" w:hAnsi="Arial"/>
          <w:sz w:val="20"/>
          <w:szCs w:val="20"/>
        </w:rPr>
        <w:t xml:space="preserve"> savings calculations.</w:t>
      </w:r>
    </w:p>
    <w:p w14:paraId="40AF4CEA" w14:textId="77777777" w:rsidR="00FD6117" w:rsidRPr="003B01FE" w:rsidRDefault="00FD6117" w:rsidP="00FD6117">
      <w:pPr>
        <w:tabs>
          <w:tab w:val="left" w:pos="6435"/>
        </w:tabs>
        <w:rPr>
          <w:rFonts w:ascii="Arial" w:hAnsi="Arial"/>
          <w:sz w:val="20"/>
        </w:rPr>
      </w:pPr>
    </w:p>
    <w:p w14:paraId="468AE467" w14:textId="08E7D3A6" w:rsidR="00EC568D" w:rsidRPr="003B01FE" w:rsidRDefault="00EC568D" w:rsidP="00FD6117">
      <w:pPr>
        <w:tabs>
          <w:tab w:val="left" w:pos="6435"/>
        </w:tabs>
        <w:rPr>
          <w:rFonts w:ascii="Arial" w:hAnsi="Arial"/>
          <w:b/>
          <w:sz w:val="20"/>
          <w:u w:val="single"/>
        </w:rPr>
      </w:pPr>
      <w:r w:rsidRPr="003B01FE">
        <w:rPr>
          <w:rFonts w:ascii="Arial" w:hAnsi="Arial"/>
          <w:b/>
          <w:sz w:val="20"/>
        </w:rPr>
        <w:t>Effective Useful Life / Remaining Useful Life</w:t>
      </w:r>
    </w:p>
    <w:p w14:paraId="59692174" w14:textId="2D574F8F" w:rsidR="00EC568D" w:rsidRPr="003B01FE" w:rsidRDefault="00EC568D" w:rsidP="00EC568D">
      <w:pPr>
        <w:rPr>
          <w:rFonts w:ascii="Arial" w:hAnsi="Arial"/>
          <w:sz w:val="20"/>
        </w:rPr>
      </w:pPr>
      <w:r w:rsidRPr="003B01FE">
        <w:rPr>
          <w:rFonts w:ascii="Arial" w:hAnsi="Arial"/>
          <w:sz w:val="20"/>
        </w:rPr>
        <w:t>The rated life for these products is assumed to be 5</w:t>
      </w:r>
      <w:r w:rsidR="00B16195" w:rsidRPr="003B01FE">
        <w:rPr>
          <w:rFonts w:ascii="Arial" w:hAnsi="Arial"/>
          <w:sz w:val="20"/>
        </w:rPr>
        <w:t>0</w:t>
      </w:r>
      <w:r w:rsidRPr="003B01FE">
        <w:rPr>
          <w:rFonts w:ascii="Arial" w:hAnsi="Arial"/>
          <w:sz w:val="20"/>
        </w:rPr>
        <w:t>,000 hours, the minimum DLC specification</w:t>
      </w:r>
      <w:r w:rsidR="00CE490D">
        <w:rPr>
          <w:rFonts w:ascii="Arial" w:hAnsi="Arial"/>
          <w:sz w:val="20"/>
        </w:rPr>
        <w:t>, though DLC products average more than 56,000 hours</w:t>
      </w:r>
      <w:r w:rsidRPr="003B01FE">
        <w:rPr>
          <w:rFonts w:ascii="Arial" w:hAnsi="Arial"/>
          <w:sz w:val="20"/>
        </w:rPr>
        <w:t xml:space="preserve">. Rated life for DLC-listed products </w:t>
      </w:r>
      <w:r w:rsidR="002D37BE" w:rsidRPr="003B01FE">
        <w:rPr>
          <w:rFonts w:ascii="Arial" w:hAnsi="Arial"/>
          <w:sz w:val="20"/>
        </w:rPr>
        <w:t>starts at</w:t>
      </w:r>
      <w:r w:rsidRPr="003B01FE">
        <w:rPr>
          <w:rFonts w:ascii="Arial" w:hAnsi="Arial"/>
          <w:sz w:val="20"/>
        </w:rPr>
        <w:t xml:space="preserve"> 5</w:t>
      </w:r>
      <w:r w:rsidR="002D37BE" w:rsidRPr="003B01FE">
        <w:rPr>
          <w:rFonts w:ascii="Arial" w:hAnsi="Arial"/>
          <w:sz w:val="20"/>
        </w:rPr>
        <w:t>0</w:t>
      </w:r>
      <w:r w:rsidRPr="003B01FE">
        <w:rPr>
          <w:rFonts w:ascii="Arial" w:hAnsi="Arial"/>
          <w:sz w:val="20"/>
        </w:rPr>
        <w:t xml:space="preserve">,000 hours and </w:t>
      </w:r>
      <w:r w:rsidR="002D37BE" w:rsidRPr="003B01FE">
        <w:rPr>
          <w:rFonts w:ascii="Arial" w:hAnsi="Arial"/>
          <w:sz w:val="20"/>
        </w:rPr>
        <w:t>extends much higher, but a minimum of 50,000 hours or 12 years is used here</w:t>
      </w:r>
      <w:r w:rsidRPr="003B01FE">
        <w:rPr>
          <w:rFonts w:ascii="Arial" w:hAnsi="Arial"/>
          <w:sz w:val="20"/>
        </w:rPr>
        <w:t xml:space="preserve">. Since the EUL is dependent on the hours of operation, the EUL varies by building type. </w:t>
      </w:r>
    </w:p>
    <w:p w14:paraId="31353768" w14:textId="77777777" w:rsidR="00EC568D" w:rsidRPr="003B01FE" w:rsidRDefault="00EC568D" w:rsidP="00EC568D">
      <w:pPr>
        <w:rPr>
          <w:rFonts w:ascii="Arial" w:hAnsi="Arial"/>
          <w:sz w:val="20"/>
        </w:rPr>
      </w:pPr>
    </w:p>
    <w:p w14:paraId="619B6992" w14:textId="6FBA1D1A" w:rsidR="00EC568D" w:rsidRPr="003B01FE" w:rsidRDefault="00EC568D" w:rsidP="00EC568D">
      <w:pPr>
        <w:rPr>
          <w:rFonts w:ascii="Arial" w:hAnsi="Arial"/>
          <w:sz w:val="20"/>
        </w:rPr>
      </w:pPr>
      <w:r w:rsidRPr="003B01FE">
        <w:rPr>
          <w:rFonts w:ascii="Arial" w:hAnsi="Arial"/>
          <w:sz w:val="20"/>
        </w:rPr>
        <w:t>The EUL is based on 5</w:t>
      </w:r>
      <w:r w:rsidR="002D37BE" w:rsidRPr="003B01FE">
        <w:rPr>
          <w:rFonts w:ascii="Arial" w:hAnsi="Arial"/>
          <w:sz w:val="20"/>
        </w:rPr>
        <w:t>0</w:t>
      </w:r>
      <w:r w:rsidRPr="003B01FE">
        <w:rPr>
          <w:rFonts w:ascii="Arial" w:hAnsi="Arial"/>
          <w:sz w:val="20"/>
        </w:rPr>
        <w:t>,000 hours rated fixture life divided by average annual hours of operation for each building type:</w:t>
      </w:r>
    </w:p>
    <w:p w14:paraId="222DE93F" w14:textId="77777777" w:rsidR="00EC568D" w:rsidRPr="003B01FE" w:rsidRDefault="00EC568D" w:rsidP="00EC568D">
      <w:pPr>
        <w:rPr>
          <w:rFonts w:ascii="Arial" w:hAnsi="Arial"/>
          <w:sz w:val="20"/>
        </w:rPr>
      </w:pPr>
    </w:p>
    <w:p w14:paraId="5659DC3E" w14:textId="1BC4CF9E" w:rsidR="00EC568D" w:rsidRPr="003B01FE" w:rsidRDefault="00EC568D" w:rsidP="00EC568D">
      <w:pPr>
        <w:rPr>
          <w:rFonts w:ascii="Arial" w:hAnsi="Arial"/>
          <w:sz w:val="20"/>
        </w:rPr>
      </w:pPr>
      <w:r w:rsidRPr="003B01FE">
        <w:rPr>
          <w:rFonts w:ascii="Arial" w:hAnsi="Arial"/>
          <w:sz w:val="20"/>
        </w:rPr>
        <w:tab/>
        <w:t xml:space="preserve">EUL = (DLC-Minimum Fixture Life (hours)) / (Average Operating Hours </w:t>
      </w:r>
      <w:r w:rsidR="00025717" w:rsidRPr="003B01FE">
        <w:rPr>
          <w:rFonts w:ascii="Arial" w:hAnsi="Arial"/>
          <w:sz w:val="20"/>
        </w:rPr>
        <w:t>per</w:t>
      </w:r>
      <w:r w:rsidRPr="003B01FE">
        <w:rPr>
          <w:rFonts w:ascii="Arial" w:hAnsi="Arial"/>
          <w:sz w:val="20"/>
        </w:rPr>
        <w:t xml:space="preserve"> Year)</w:t>
      </w:r>
    </w:p>
    <w:p w14:paraId="506325DE" w14:textId="77777777" w:rsidR="00EC568D" w:rsidRPr="003B01FE" w:rsidRDefault="00EC568D" w:rsidP="00EC568D">
      <w:pPr>
        <w:rPr>
          <w:rFonts w:ascii="Arial" w:hAnsi="Arial"/>
          <w:sz w:val="20"/>
        </w:rPr>
      </w:pPr>
    </w:p>
    <w:p w14:paraId="06B08C58" w14:textId="04C8C9A5" w:rsidR="00EC568D" w:rsidRPr="003B01FE" w:rsidRDefault="00EC568D" w:rsidP="00EC568D">
      <w:pPr>
        <w:pStyle w:val="Caption"/>
        <w:keepNext/>
        <w:jc w:val="center"/>
      </w:pPr>
      <w:bookmarkStart w:id="63" w:name="_Toc511038012"/>
      <w:bookmarkStart w:id="64" w:name="_Toc511244273"/>
      <w:bookmarkStart w:id="65" w:name="_Toc511244298"/>
      <w:bookmarkStart w:id="66" w:name="_Toc2804939"/>
      <w:r w:rsidRPr="003B01FE">
        <w:t xml:space="preserve">Table </w:t>
      </w:r>
      <w:fldSimple w:instr=" SEQ Table \* ARABIC ">
        <w:r w:rsidR="007D2501">
          <w:rPr>
            <w:noProof/>
          </w:rPr>
          <w:t>7</w:t>
        </w:r>
      </w:fldSimple>
      <w:r w:rsidR="007042ED">
        <w:t xml:space="preserve"> </w:t>
      </w:r>
      <w:r w:rsidRPr="003B01FE">
        <w:t>Effective Useful Life/Remaining Useful Life</w:t>
      </w:r>
      <w:bookmarkEnd w:id="63"/>
      <w:bookmarkEnd w:id="64"/>
      <w:bookmarkEnd w:id="65"/>
      <w:bookmarkEnd w:id="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2"/>
        <w:gridCol w:w="3828"/>
        <w:gridCol w:w="879"/>
        <w:gridCol w:w="1450"/>
        <w:gridCol w:w="969"/>
        <w:gridCol w:w="898"/>
      </w:tblGrid>
      <w:tr w:rsidR="009F14ED" w:rsidRPr="009842A2" w14:paraId="43EA70A7" w14:textId="77777777" w:rsidTr="00E35C1C">
        <w:tc>
          <w:tcPr>
            <w:tcW w:w="810" w:type="pct"/>
            <w:shd w:val="clear" w:color="auto" w:fill="D9D9D9"/>
            <w:vAlign w:val="center"/>
          </w:tcPr>
          <w:p w14:paraId="3E04C584" w14:textId="77777777" w:rsidR="00EC568D" w:rsidRPr="00E35C1C" w:rsidRDefault="00EC568D" w:rsidP="00E35C1C">
            <w:pPr>
              <w:jc w:val="center"/>
              <w:rPr>
                <w:rFonts w:ascii="Arial" w:hAnsi="Arial"/>
                <w:b/>
                <w:sz w:val="20"/>
              </w:rPr>
            </w:pPr>
            <w:r w:rsidRPr="00E35C1C">
              <w:rPr>
                <w:rFonts w:ascii="Arial" w:hAnsi="Arial"/>
                <w:b/>
                <w:sz w:val="20"/>
              </w:rPr>
              <w:t>EUL ID</w:t>
            </w:r>
          </w:p>
        </w:tc>
        <w:tc>
          <w:tcPr>
            <w:tcW w:w="1999" w:type="pct"/>
            <w:shd w:val="clear" w:color="auto" w:fill="D9D9D9"/>
            <w:vAlign w:val="center"/>
          </w:tcPr>
          <w:p w14:paraId="581A1F9C" w14:textId="77777777" w:rsidR="00EC568D" w:rsidRPr="00E35C1C" w:rsidRDefault="00EC568D" w:rsidP="00E35C1C">
            <w:pPr>
              <w:jc w:val="center"/>
              <w:rPr>
                <w:rFonts w:ascii="Arial" w:hAnsi="Arial"/>
                <w:b/>
                <w:sz w:val="20"/>
              </w:rPr>
            </w:pPr>
            <w:r w:rsidRPr="00E35C1C">
              <w:rPr>
                <w:rFonts w:ascii="Arial" w:hAnsi="Arial"/>
                <w:b/>
                <w:sz w:val="20"/>
              </w:rPr>
              <w:t>Description</w:t>
            </w:r>
          </w:p>
        </w:tc>
        <w:tc>
          <w:tcPr>
            <w:tcW w:w="459" w:type="pct"/>
            <w:shd w:val="clear" w:color="auto" w:fill="D9D9D9"/>
            <w:vAlign w:val="center"/>
          </w:tcPr>
          <w:p w14:paraId="7D3B8886" w14:textId="77777777" w:rsidR="00EC568D" w:rsidRPr="00E35C1C" w:rsidRDefault="00EC568D" w:rsidP="00E35C1C">
            <w:pPr>
              <w:jc w:val="center"/>
              <w:rPr>
                <w:rFonts w:ascii="Arial" w:hAnsi="Arial"/>
                <w:b/>
                <w:sz w:val="20"/>
              </w:rPr>
            </w:pPr>
            <w:r w:rsidRPr="00E35C1C">
              <w:rPr>
                <w:rFonts w:ascii="Arial" w:hAnsi="Arial"/>
                <w:b/>
                <w:sz w:val="20"/>
              </w:rPr>
              <w:t>Sector</w:t>
            </w:r>
          </w:p>
        </w:tc>
        <w:tc>
          <w:tcPr>
            <w:tcW w:w="757" w:type="pct"/>
            <w:shd w:val="clear" w:color="auto" w:fill="D9D9D9"/>
            <w:vAlign w:val="center"/>
          </w:tcPr>
          <w:p w14:paraId="6FF16940" w14:textId="77777777" w:rsidR="00EC568D" w:rsidRPr="00E35C1C" w:rsidRDefault="00EC568D" w:rsidP="00E35C1C">
            <w:pPr>
              <w:jc w:val="center"/>
              <w:rPr>
                <w:rFonts w:ascii="Arial" w:hAnsi="Arial"/>
                <w:b/>
                <w:sz w:val="20"/>
              </w:rPr>
            </w:pPr>
            <w:proofErr w:type="spellStart"/>
            <w:r w:rsidRPr="00E35C1C">
              <w:rPr>
                <w:rFonts w:ascii="Arial" w:hAnsi="Arial"/>
                <w:b/>
                <w:sz w:val="20"/>
              </w:rPr>
              <w:t>UseCategory</w:t>
            </w:r>
            <w:proofErr w:type="spellEnd"/>
          </w:p>
        </w:tc>
        <w:tc>
          <w:tcPr>
            <w:tcW w:w="506" w:type="pct"/>
            <w:shd w:val="clear" w:color="auto" w:fill="D9D9D9"/>
            <w:vAlign w:val="center"/>
          </w:tcPr>
          <w:p w14:paraId="1B5F9DBC" w14:textId="77777777" w:rsidR="00EC568D" w:rsidRPr="00E35C1C" w:rsidRDefault="00EC568D" w:rsidP="00E35C1C">
            <w:pPr>
              <w:jc w:val="center"/>
              <w:rPr>
                <w:rFonts w:ascii="Arial" w:hAnsi="Arial"/>
                <w:b/>
                <w:sz w:val="20"/>
              </w:rPr>
            </w:pPr>
            <w:r w:rsidRPr="00E35C1C">
              <w:rPr>
                <w:rFonts w:ascii="Arial" w:hAnsi="Arial"/>
                <w:b/>
                <w:sz w:val="20"/>
              </w:rPr>
              <w:t>EUL (Years)</w:t>
            </w:r>
          </w:p>
        </w:tc>
        <w:tc>
          <w:tcPr>
            <w:tcW w:w="469" w:type="pct"/>
            <w:shd w:val="clear" w:color="auto" w:fill="D9D9D9"/>
            <w:vAlign w:val="center"/>
          </w:tcPr>
          <w:p w14:paraId="3E32F4E9" w14:textId="77777777" w:rsidR="00EC568D" w:rsidRPr="00E35C1C" w:rsidRDefault="00EC568D" w:rsidP="00E35C1C">
            <w:pPr>
              <w:jc w:val="center"/>
              <w:rPr>
                <w:rFonts w:ascii="Arial" w:hAnsi="Arial"/>
                <w:b/>
                <w:sz w:val="20"/>
              </w:rPr>
            </w:pPr>
            <w:r w:rsidRPr="00E35C1C">
              <w:rPr>
                <w:rFonts w:ascii="Arial" w:hAnsi="Arial"/>
                <w:b/>
                <w:sz w:val="20"/>
              </w:rPr>
              <w:t>RUL (Years)</w:t>
            </w:r>
          </w:p>
        </w:tc>
      </w:tr>
      <w:tr w:rsidR="009F14ED" w:rsidRPr="009842A2" w14:paraId="5215A432" w14:textId="77777777" w:rsidTr="00E35C1C">
        <w:trPr>
          <w:trHeight w:val="243"/>
        </w:trPr>
        <w:tc>
          <w:tcPr>
            <w:tcW w:w="810" w:type="pct"/>
            <w:shd w:val="clear" w:color="auto" w:fill="auto"/>
            <w:vAlign w:val="center"/>
          </w:tcPr>
          <w:p w14:paraId="13F080A0" w14:textId="77777777" w:rsidR="00EC568D" w:rsidRPr="00AC3944" w:rsidRDefault="00EC568D" w:rsidP="00E35C1C">
            <w:pPr>
              <w:jc w:val="center"/>
              <w:rPr>
                <w:rFonts w:ascii="Arial" w:hAnsi="Arial"/>
                <w:sz w:val="20"/>
              </w:rPr>
            </w:pPr>
            <w:r w:rsidRPr="00AC3944">
              <w:rPr>
                <w:rFonts w:ascii="Arial" w:hAnsi="Arial"/>
                <w:sz w:val="20"/>
              </w:rPr>
              <w:t>ILtg-Com-LED-50000hr</w:t>
            </w:r>
          </w:p>
        </w:tc>
        <w:tc>
          <w:tcPr>
            <w:tcW w:w="1999" w:type="pct"/>
            <w:shd w:val="clear" w:color="auto" w:fill="auto"/>
            <w:vAlign w:val="center"/>
          </w:tcPr>
          <w:p w14:paraId="4D90C859" w14:textId="77777777" w:rsidR="00025717" w:rsidRPr="00AC3944" w:rsidRDefault="00025717" w:rsidP="00E35C1C">
            <w:pPr>
              <w:jc w:val="center"/>
              <w:rPr>
                <w:rFonts w:ascii="Arial" w:hAnsi="Arial"/>
                <w:sz w:val="20"/>
              </w:rPr>
            </w:pPr>
          </w:p>
          <w:p w14:paraId="685DB2D1" w14:textId="046AF0EE" w:rsidR="00EC568D" w:rsidRPr="00AC3944" w:rsidRDefault="00025717" w:rsidP="00E35C1C">
            <w:pPr>
              <w:jc w:val="center"/>
              <w:rPr>
                <w:rFonts w:ascii="Arial" w:hAnsi="Arial"/>
                <w:sz w:val="20"/>
              </w:rPr>
            </w:pPr>
            <w:r w:rsidRPr="00AC3944">
              <w:rPr>
                <w:rFonts w:ascii="Arial" w:hAnsi="Arial"/>
                <w:sz w:val="20"/>
              </w:rPr>
              <w:t>LED Fixture - Indoor- Commercial</w:t>
            </w:r>
          </w:p>
          <w:p w14:paraId="0C833852" w14:textId="77777777" w:rsidR="00025717" w:rsidRPr="00AC3944" w:rsidRDefault="00025717" w:rsidP="00E35C1C">
            <w:pPr>
              <w:jc w:val="center"/>
              <w:rPr>
                <w:rFonts w:ascii="Arial" w:hAnsi="Arial"/>
                <w:sz w:val="20"/>
              </w:rPr>
            </w:pPr>
          </w:p>
        </w:tc>
        <w:tc>
          <w:tcPr>
            <w:tcW w:w="459" w:type="pct"/>
            <w:shd w:val="clear" w:color="auto" w:fill="auto"/>
            <w:vAlign w:val="center"/>
          </w:tcPr>
          <w:p w14:paraId="21144C20" w14:textId="77777777" w:rsidR="00EC568D" w:rsidRPr="00E35C1C" w:rsidRDefault="00EC568D" w:rsidP="00E35C1C">
            <w:pPr>
              <w:jc w:val="center"/>
              <w:rPr>
                <w:rFonts w:ascii="Arial" w:hAnsi="Arial"/>
                <w:sz w:val="20"/>
              </w:rPr>
            </w:pPr>
            <w:r w:rsidRPr="00E35C1C">
              <w:rPr>
                <w:rFonts w:ascii="Arial" w:hAnsi="Arial"/>
                <w:sz w:val="20"/>
              </w:rPr>
              <w:t>Com</w:t>
            </w:r>
          </w:p>
        </w:tc>
        <w:tc>
          <w:tcPr>
            <w:tcW w:w="757" w:type="pct"/>
            <w:shd w:val="clear" w:color="auto" w:fill="auto"/>
            <w:vAlign w:val="center"/>
          </w:tcPr>
          <w:p w14:paraId="22B93328" w14:textId="77777777" w:rsidR="00EC568D" w:rsidRPr="00E35C1C" w:rsidRDefault="00EC568D" w:rsidP="00E35C1C">
            <w:pPr>
              <w:jc w:val="center"/>
              <w:rPr>
                <w:rFonts w:ascii="Arial" w:hAnsi="Arial"/>
                <w:sz w:val="20"/>
              </w:rPr>
            </w:pPr>
            <w:r w:rsidRPr="00E35C1C">
              <w:rPr>
                <w:rFonts w:ascii="Arial" w:hAnsi="Arial"/>
                <w:sz w:val="20"/>
              </w:rPr>
              <w:t>Lighting</w:t>
            </w:r>
          </w:p>
        </w:tc>
        <w:tc>
          <w:tcPr>
            <w:tcW w:w="506" w:type="pct"/>
            <w:shd w:val="clear" w:color="auto" w:fill="auto"/>
            <w:vAlign w:val="center"/>
          </w:tcPr>
          <w:p w14:paraId="35EC3C9B" w14:textId="77777777" w:rsidR="00EC568D" w:rsidRPr="00E35C1C" w:rsidRDefault="00EC568D" w:rsidP="00E35C1C">
            <w:pPr>
              <w:jc w:val="center"/>
              <w:rPr>
                <w:rFonts w:ascii="Arial" w:hAnsi="Arial"/>
                <w:sz w:val="20"/>
              </w:rPr>
            </w:pPr>
            <w:r w:rsidRPr="00E35C1C">
              <w:rPr>
                <w:rFonts w:ascii="Arial" w:hAnsi="Arial"/>
                <w:sz w:val="20"/>
              </w:rPr>
              <w:t>12</w:t>
            </w:r>
          </w:p>
        </w:tc>
        <w:tc>
          <w:tcPr>
            <w:tcW w:w="469" w:type="pct"/>
            <w:shd w:val="clear" w:color="auto" w:fill="auto"/>
            <w:vAlign w:val="center"/>
          </w:tcPr>
          <w:p w14:paraId="42DDCD31" w14:textId="77777777" w:rsidR="00EC568D" w:rsidRPr="00E35C1C" w:rsidRDefault="00EC568D" w:rsidP="00E35C1C">
            <w:pPr>
              <w:jc w:val="center"/>
              <w:rPr>
                <w:rFonts w:ascii="Arial" w:hAnsi="Arial"/>
                <w:sz w:val="20"/>
              </w:rPr>
            </w:pPr>
            <w:r w:rsidRPr="00E35C1C">
              <w:rPr>
                <w:rFonts w:ascii="Arial" w:hAnsi="Arial"/>
                <w:sz w:val="20"/>
              </w:rPr>
              <w:t>4</w:t>
            </w:r>
          </w:p>
        </w:tc>
      </w:tr>
    </w:tbl>
    <w:p w14:paraId="54BA7A54" w14:textId="77777777" w:rsidR="00813AEE" w:rsidRDefault="00813AEE" w:rsidP="00AC3944">
      <w:bookmarkStart w:id="67" w:name="_Toc511038031"/>
    </w:p>
    <w:p w14:paraId="2348F260" w14:textId="538179F3" w:rsidR="002E0043" w:rsidRPr="002A2A5A" w:rsidRDefault="00813AEE" w:rsidP="002A2A5A">
      <w:pPr>
        <w:rPr>
          <w:rFonts w:ascii="Arial" w:hAnsi="Arial" w:cs="Arial"/>
          <w:b/>
          <w:sz w:val="26"/>
          <w:szCs w:val="26"/>
        </w:rPr>
      </w:pPr>
      <w:r>
        <w:br w:type="page"/>
      </w:r>
      <w:r w:rsidR="001248A3" w:rsidRPr="002A2A5A">
        <w:rPr>
          <w:rFonts w:ascii="Arial" w:hAnsi="Arial" w:cs="Arial"/>
          <w:b/>
          <w:sz w:val="26"/>
          <w:szCs w:val="26"/>
        </w:rPr>
        <w:lastRenderedPageBreak/>
        <w:t>1.</w:t>
      </w:r>
      <w:r w:rsidR="00FA595F" w:rsidRPr="002A2A5A">
        <w:rPr>
          <w:rFonts w:ascii="Arial" w:hAnsi="Arial" w:cs="Arial"/>
          <w:b/>
          <w:sz w:val="26"/>
          <w:szCs w:val="26"/>
        </w:rPr>
        <w:t>4</w:t>
      </w:r>
      <w:r w:rsidR="00793646" w:rsidRPr="002A2A5A">
        <w:rPr>
          <w:rFonts w:ascii="Arial" w:hAnsi="Arial" w:cs="Arial"/>
          <w:b/>
          <w:sz w:val="26"/>
          <w:szCs w:val="26"/>
        </w:rPr>
        <w:t>.2</w:t>
      </w:r>
      <w:r w:rsidR="00FA595F" w:rsidRPr="002A2A5A">
        <w:rPr>
          <w:rFonts w:ascii="Arial" w:hAnsi="Arial" w:cs="Arial"/>
          <w:b/>
          <w:sz w:val="26"/>
          <w:szCs w:val="26"/>
        </w:rPr>
        <w:t xml:space="preserve"> </w:t>
      </w:r>
      <w:r w:rsidR="00E71EF1" w:rsidRPr="002A2A5A">
        <w:rPr>
          <w:rFonts w:ascii="Arial" w:hAnsi="Arial" w:cs="Arial"/>
          <w:b/>
          <w:sz w:val="26"/>
          <w:szCs w:val="26"/>
        </w:rPr>
        <w:t xml:space="preserve">Codes &amp; Standards </w:t>
      </w:r>
      <w:r w:rsidR="002B40BA" w:rsidRPr="002A2A5A">
        <w:rPr>
          <w:rFonts w:ascii="Arial" w:hAnsi="Arial" w:cs="Arial"/>
          <w:b/>
          <w:sz w:val="26"/>
          <w:szCs w:val="26"/>
        </w:rPr>
        <w:t>Analysis</w:t>
      </w:r>
      <w:bookmarkEnd w:id="67"/>
    </w:p>
    <w:p w14:paraId="62242CFB" w14:textId="77777777" w:rsidR="002A2A5A" w:rsidRPr="002A2A5A" w:rsidRDefault="002A2A5A" w:rsidP="002A2A5A">
      <w:pPr>
        <w:rPr>
          <w:rFonts w:ascii="Arial" w:hAnsi="Arial" w:cs="Arial"/>
          <w:b/>
        </w:rPr>
      </w:pPr>
    </w:p>
    <w:p w14:paraId="11D8E4E2" w14:textId="1D9B6D15" w:rsidR="00B56D9D" w:rsidRPr="00102F3E" w:rsidRDefault="00EE53FF" w:rsidP="00A7438F">
      <w:pPr>
        <w:rPr>
          <w:rFonts w:ascii="Arial" w:hAnsi="Arial" w:cs="Arial"/>
          <w:sz w:val="20"/>
          <w:szCs w:val="20"/>
        </w:rPr>
      </w:pPr>
      <w:r w:rsidRPr="0024210B">
        <w:rPr>
          <w:rFonts w:ascii="Arial" w:hAnsi="Arial" w:cs="Arial"/>
          <w:b/>
          <w:i/>
          <w:sz w:val="22"/>
          <w:szCs w:val="22"/>
        </w:rPr>
        <w:t>Title 20:</w:t>
      </w:r>
      <w:r w:rsidRPr="00102F3E">
        <w:rPr>
          <w:rFonts w:ascii="Arial" w:hAnsi="Arial" w:cs="Arial"/>
        </w:rPr>
        <w:t xml:space="preserve"> </w:t>
      </w:r>
      <w:r w:rsidR="00B13099" w:rsidRPr="00102F3E">
        <w:rPr>
          <w:rFonts w:ascii="Arial" w:hAnsi="Arial" w:cs="Arial"/>
          <w:sz w:val="20"/>
          <w:szCs w:val="20"/>
        </w:rPr>
        <w:t>Th</w:t>
      </w:r>
      <w:r w:rsidRPr="00102F3E">
        <w:rPr>
          <w:rFonts w:ascii="Arial" w:hAnsi="Arial" w:cs="Arial"/>
          <w:sz w:val="20"/>
          <w:szCs w:val="20"/>
        </w:rPr>
        <w:t>e</w:t>
      </w:r>
      <w:r w:rsidR="00B56D9D" w:rsidRPr="00102F3E">
        <w:rPr>
          <w:rFonts w:ascii="Arial" w:hAnsi="Arial" w:cs="Arial"/>
          <w:sz w:val="20"/>
          <w:szCs w:val="20"/>
        </w:rPr>
        <w:t xml:space="preserve"> ballast efficiencies of metal halide lighting systems are regulated </w:t>
      </w:r>
      <w:r w:rsidRPr="00102F3E">
        <w:rPr>
          <w:rFonts w:ascii="Arial" w:hAnsi="Arial" w:cs="Arial"/>
          <w:sz w:val="20"/>
          <w:szCs w:val="20"/>
        </w:rPr>
        <w:t xml:space="preserve">under </w:t>
      </w:r>
      <w:r w:rsidR="00F03D02">
        <w:rPr>
          <w:rFonts w:ascii="Arial" w:hAnsi="Arial" w:cs="Arial"/>
          <w:sz w:val="20"/>
          <w:szCs w:val="20"/>
        </w:rPr>
        <w:t xml:space="preserve">2016 </w:t>
      </w:r>
      <w:r w:rsidRPr="00102F3E">
        <w:rPr>
          <w:rFonts w:ascii="Arial" w:hAnsi="Arial" w:cs="Arial"/>
          <w:sz w:val="20"/>
          <w:szCs w:val="20"/>
        </w:rPr>
        <w:t xml:space="preserve">Title 20 </w:t>
      </w:r>
      <w:r w:rsidR="00F03D02">
        <w:rPr>
          <w:rFonts w:ascii="Arial" w:hAnsi="Arial" w:cs="Arial"/>
          <w:sz w:val="20"/>
          <w:szCs w:val="20"/>
        </w:rPr>
        <w:t xml:space="preserve">Appliance Efficiency </w:t>
      </w:r>
      <w:r w:rsidRPr="00102F3E">
        <w:rPr>
          <w:rFonts w:ascii="Arial" w:hAnsi="Arial" w:cs="Arial"/>
          <w:sz w:val="20"/>
          <w:szCs w:val="20"/>
        </w:rPr>
        <w:t>Regulations</w:t>
      </w:r>
      <w:r w:rsidR="00B56D9D" w:rsidRPr="00102F3E">
        <w:rPr>
          <w:rFonts w:ascii="Arial" w:hAnsi="Arial" w:cs="Arial"/>
          <w:sz w:val="20"/>
          <w:szCs w:val="20"/>
        </w:rPr>
        <w:t>, section 1605.3(n)</w:t>
      </w:r>
      <w:r w:rsidR="00F03D02">
        <w:rPr>
          <w:rStyle w:val="EndnoteReference"/>
          <w:rFonts w:ascii="Arial" w:hAnsi="Arial" w:cs="Arial"/>
          <w:sz w:val="20"/>
          <w:szCs w:val="20"/>
        </w:rPr>
        <w:endnoteReference w:id="9"/>
      </w:r>
      <w:r w:rsidR="00BA61AA">
        <w:rPr>
          <w:rFonts w:ascii="Arial" w:hAnsi="Arial" w:cs="Arial"/>
          <w:sz w:val="20"/>
          <w:szCs w:val="20"/>
        </w:rPr>
        <w:t>, but these products have been entirely removed from the base case of this workpaper</w:t>
      </w:r>
      <w:r w:rsidRPr="00102F3E">
        <w:rPr>
          <w:rFonts w:ascii="Arial" w:hAnsi="Arial" w:cs="Arial"/>
          <w:sz w:val="20"/>
          <w:szCs w:val="20"/>
        </w:rPr>
        <w:t>.</w:t>
      </w:r>
    </w:p>
    <w:p w14:paraId="7C7FE457" w14:textId="77777777" w:rsidR="00073C1E" w:rsidRPr="00102F3E" w:rsidRDefault="00073C1E" w:rsidP="00B56D9D">
      <w:pPr>
        <w:rPr>
          <w:rFonts w:ascii="Arial" w:hAnsi="Arial" w:cs="Arial"/>
          <w:sz w:val="20"/>
          <w:szCs w:val="20"/>
        </w:rPr>
      </w:pPr>
    </w:p>
    <w:p w14:paraId="5167E0E1" w14:textId="3D78B790" w:rsidR="00073C1E" w:rsidRPr="00102F3E" w:rsidRDefault="00EE53FF" w:rsidP="00E6692C">
      <w:pPr>
        <w:rPr>
          <w:rFonts w:ascii="Arial" w:hAnsi="Arial" w:cs="Arial"/>
          <w:sz w:val="20"/>
          <w:szCs w:val="20"/>
        </w:rPr>
      </w:pPr>
      <w:r w:rsidRPr="0024210B">
        <w:rPr>
          <w:rFonts w:ascii="Arial" w:hAnsi="Arial" w:cs="Arial"/>
          <w:b/>
          <w:i/>
          <w:sz w:val="22"/>
          <w:szCs w:val="22"/>
        </w:rPr>
        <w:t>Title 24:</w:t>
      </w:r>
      <w:r w:rsidRPr="00102F3E">
        <w:rPr>
          <w:color w:val="FF0000"/>
        </w:rPr>
        <w:t xml:space="preserve"> </w:t>
      </w:r>
      <w:r w:rsidR="00E6692C" w:rsidRPr="00102F3E">
        <w:rPr>
          <w:rFonts w:ascii="Arial" w:hAnsi="Arial" w:cs="Arial"/>
          <w:sz w:val="20"/>
          <w:szCs w:val="20"/>
        </w:rPr>
        <w:t>Neither the source technology nor the fixture selection for these measures falls under Title 24 [2016]</w:t>
      </w:r>
      <w:r w:rsidR="00573FFA" w:rsidRPr="00102F3E">
        <w:rPr>
          <w:rFonts w:ascii="Arial" w:hAnsi="Arial" w:cs="Arial"/>
          <w:sz w:val="20"/>
          <w:szCs w:val="20"/>
        </w:rPr>
        <w:t xml:space="preserve"> </w:t>
      </w:r>
      <w:r w:rsidR="00573FFA" w:rsidRPr="00102F3E">
        <w:rPr>
          <w:rStyle w:val="EndnoteReference"/>
          <w:rFonts w:ascii="Arial" w:hAnsi="Arial" w:cs="Arial"/>
          <w:sz w:val="20"/>
          <w:szCs w:val="20"/>
        </w:rPr>
        <w:endnoteReference w:id="10"/>
      </w:r>
      <w:r w:rsidR="00573FFA" w:rsidRPr="00102F3E">
        <w:rPr>
          <w:rFonts w:ascii="Arial" w:hAnsi="Arial" w:cs="Arial"/>
          <w:sz w:val="20"/>
          <w:szCs w:val="20"/>
        </w:rPr>
        <w:t xml:space="preserve"> </w:t>
      </w:r>
      <w:r w:rsidR="00E6692C" w:rsidRPr="00102F3E">
        <w:rPr>
          <w:rFonts w:ascii="Arial" w:hAnsi="Arial" w:cs="Arial"/>
          <w:sz w:val="20"/>
          <w:szCs w:val="20"/>
        </w:rPr>
        <w:t xml:space="preserve"> of the California Energy Regulations</w:t>
      </w:r>
      <w:r w:rsidR="00CA1624" w:rsidRPr="00102F3E">
        <w:rPr>
          <w:rFonts w:ascii="Arial" w:hAnsi="Arial" w:cs="Arial"/>
          <w:sz w:val="20"/>
          <w:szCs w:val="20"/>
        </w:rPr>
        <w:t>.</w:t>
      </w:r>
      <w:r w:rsidR="00E6692C" w:rsidRPr="00102F3E">
        <w:rPr>
          <w:rFonts w:ascii="Arial" w:hAnsi="Arial" w:cs="Arial"/>
          <w:sz w:val="20"/>
          <w:szCs w:val="20"/>
        </w:rPr>
        <w:t xml:space="preserve"> However, the Lighting Power Densities (LPD) in watts/ square feet of both measure and base case are capped by Title 24. Given the enormous range in high bay spacing, with 25 and 30 foot spacing possible, any eligible fixture under this measure (capped at </w:t>
      </w:r>
      <w:r w:rsidR="00BA61AA" w:rsidRPr="00714362">
        <w:rPr>
          <w:rFonts w:ascii="Arial" w:hAnsi="Arial" w:cs="Arial"/>
          <w:sz w:val="20"/>
          <w:szCs w:val="20"/>
        </w:rPr>
        <w:t>283</w:t>
      </w:r>
      <w:r w:rsidR="00714362">
        <w:rPr>
          <w:rFonts w:ascii="Arial" w:hAnsi="Arial" w:cs="Arial"/>
          <w:sz w:val="20"/>
          <w:szCs w:val="20"/>
        </w:rPr>
        <w:t xml:space="preserve"> </w:t>
      </w:r>
      <w:r w:rsidR="00E6692C" w:rsidRPr="00102F3E">
        <w:rPr>
          <w:rFonts w:ascii="Arial" w:hAnsi="Arial" w:cs="Arial"/>
          <w:sz w:val="20"/>
          <w:szCs w:val="20"/>
        </w:rPr>
        <w:t xml:space="preserve">W/fixture) could meet appropriate LPDs </w:t>
      </w:r>
      <w:r w:rsidR="00971008" w:rsidRPr="00102F3E">
        <w:rPr>
          <w:rFonts w:ascii="Arial" w:hAnsi="Arial" w:cs="Arial"/>
          <w:sz w:val="20"/>
          <w:szCs w:val="20"/>
        </w:rPr>
        <w:t>listed in Table 140.6-C</w:t>
      </w:r>
      <w:r w:rsidR="00CA1624" w:rsidRPr="00102F3E">
        <w:rPr>
          <w:rFonts w:ascii="Arial" w:hAnsi="Arial" w:cs="Arial"/>
          <w:sz w:val="20"/>
          <w:szCs w:val="20"/>
        </w:rPr>
        <w:t xml:space="preserve"> of Title 24.</w:t>
      </w:r>
      <w:r w:rsidR="00102F3E" w:rsidRPr="00102F3E">
        <w:rPr>
          <w:rFonts w:ascii="Arial" w:hAnsi="Arial" w:cs="Arial"/>
          <w:sz w:val="20"/>
          <w:szCs w:val="20"/>
        </w:rPr>
        <w:t xml:space="preserve"> The bases of the 2016 standards for high and low bay occupancies are pulse start metal halide.  The 2019 Title 24 standards will be based on all LED designs.</w:t>
      </w:r>
    </w:p>
    <w:p w14:paraId="05209157" w14:textId="77777777" w:rsidR="00E6692C" w:rsidRPr="00102F3E" w:rsidRDefault="00E6692C" w:rsidP="00E6692C">
      <w:pPr>
        <w:rPr>
          <w:rFonts w:ascii="Arial" w:hAnsi="Arial" w:cs="Arial"/>
          <w:sz w:val="20"/>
          <w:szCs w:val="20"/>
        </w:rPr>
      </w:pPr>
    </w:p>
    <w:p w14:paraId="61515FF4" w14:textId="46270A87" w:rsidR="005512B8" w:rsidRPr="00102F3E" w:rsidRDefault="00EE53FF" w:rsidP="008E217B">
      <w:pPr>
        <w:rPr>
          <w:rFonts w:ascii="Arial" w:hAnsi="Arial" w:cs="Arial"/>
          <w:sz w:val="20"/>
          <w:szCs w:val="20"/>
        </w:rPr>
      </w:pPr>
      <w:r w:rsidRPr="0024210B">
        <w:rPr>
          <w:rFonts w:ascii="Arial" w:hAnsi="Arial" w:cs="Arial"/>
          <w:b/>
          <w:i/>
          <w:sz w:val="22"/>
          <w:szCs w:val="22"/>
        </w:rPr>
        <w:t>Federal Standards:</w:t>
      </w:r>
      <w:r w:rsidRPr="00102F3E">
        <w:t xml:space="preserve"> </w:t>
      </w:r>
      <w:r w:rsidR="00B13099" w:rsidRPr="00102F3E">
        <w:rPr>
          <w:rFonts w:ascii="Arial" w:hAnsi="Arial" w:cs="Arial"/>
          <w:sz w:val="20"/>
          <w:szCs w:val="20"/>
        </w:rPr>
        <w:t>These measure</w:t>
      </w:r>
      <w:r w:rsidR="001231EA" w:rsidRPr="00102F3E">
        <w:rPr>
          <w:rFonts w:ascii="Arial" w:hAnsi="Arial" w:cs="Arial"/>
          <w:sz w:val="20"/>
          <w:szCs w:val="20"/>
        </w:rPr>
        <w:t xml:space="preserve"> case fixture</w:t>
      </w:r>
      <w:r w:rsidR="00B13099" w:rsidRPr="00102F3E">
        <w:rPr>
          <w:rFonts w:ascii="Arial" w:hAnsi="Arial" w:cs="Arial"/>
          <w:sz w:val="20"/>
          <w:szCs w:val="20"/>
        </w:rPr>
        <w:t xml:space="preserve">s do not fall </w:t>
      </w:r>
      <w:r w:rsidRPr="00102F3E">
        <w:rPr>
          <w:rFonts w:ascii="Arial" w:hAnsi="Arial" w:cs="Arial"/>
          <w:sz w:val="20"/>
          <w:szCs w:val="20"/>
        </w:rPr>
        <w:t>under Federal DOE or EPA Energy Regulations</w:t>
      </w:r>
      <w:r w:rsidR="00BA61AA">
        <w:rPr>
          <w:rFonts w:ascii="Arial" w:hAnsi="Arial" w:cs="Arial"/>
          <w:sz w:val="20"/>
          <w:szCs w:val="20"/>
        </w:rPr>
        <w:t>. Metal Halide fixtures are no longer part of this workpaper base case mix.</w:t>
      </w:r>
    </w:p>
    <w:p w14:paraId="3D8A2BE7" w14:textId="4332259A" w:rsidR="000D1381" w:rsidRPr="00763FAC" w:rsidRDefault="001248A3" w:rsidP="0072141D">
      <w:pPr>
        <w:pStyle w:val="Heading2"/>
      </w:pPr>
      <w:bookmarkStart w:id="68" w:name="_Toc511038032"/>
      <w:bookmarkStart w:id="69" w:name="_Toc2804904"/>
      <w:r w:rsidRPr="00763FAC">
        <w:t>1.</w:t>
      </w:r>
      <w:r w:rsidR="002B40BA" w:rsidRPr="00763FAC">
        <w:t>5</w:t>
      </w:r>
      <w:r w:rsidR="00A02F0A" w:rsidRPr="00763FAC">
        <w:t xml:space="preserve"> </w:t>
      </w:r>
      <w:r w:rsidR="00C069A2" w:rsidRPr="00763FAC">
        <w:t>EM&amp;V</w:t>
      </w:r>
      <w:r w:rsidR="00755961" w:rsidRPr="00763FAC">
        <w:t>, Market Potential,</w:t>
      </w:r>
      <w:r w:rsidR="00C069A2" w:rsidRPr="00763FAC">
        <w:t xml:space="preserve"> </w:t>
      </w:r>
      <w:r w:rsidR="0044337C" w:rsidRPr="00763FAC">
        <w:t xml:space="preserve">and Other </w:t>
      </w:r>
      <w:r w:rsidR="00C069A2" w:rsidRPr="00763FAC">
        <w:t>Studies</w:t>
      </w:r>
      <w:r w:rsidR="009C5CA7" w:rsidRPr="00763FAC">
        <w:t xml:space="preserve"> – Base Case and Measure Case Information</w:t>
      </w:r>
      <w:bookmarkEnd w:id="68"/>
      <w:bookmarkEnd w:id="69"/>
      <w:r w:rsidR="00CF3718">
        <w:t xml:space="preserve"> </w:t>
      </w:r>
    </w:p>
    <w:p w14:paraId="7A2DC04F" w14:textId="7F44DB01" w:rsidR="005F3D21" w:rsidRPr="00763FAC" w:rsidRDefault="005D62D7" w:rsidP="005F3D21">
      <w:pPr>
        <w:rPr>
          <w:rFonts w:ascii="Arial" w:hAnsi="Arial" w:cs="Arial"/>
          <w:sz w:val="20"/>
          <w:szCs w:val="20"/>
        </w:rPr>
      </w:pPr>
      <w:r w:rsidRPr="00763FAC">
        <w:rPr>
          <w:rFonts w:ascii="Arial" w:hAnsi="Arial" w:cs="Arial"/>
          <w:sz w:val="20"/>
          <w:szCs w:val="20"/>
        </w:rPr>
        <w:t xml:space="preserve">The following studies </w:t>
      </w:r>
      <w:r w:rsidR="004E7408">
        <w:rPr>
          <w:rFonts w:ascii="Arial" w:hAnsi="Arial" w:cs="Arial"/>
          <w:sz w:val="20"/>
          <w:szCs w:val="20"/>
        </w:rPr>
        <w:t xml:space="preserve">were </w:t>
      </w:r>
      <w:r w:rsidRPr="00763FAC">
        <w:rPr>
          <w:rFonts w:ascii="Arial" w:hAnsi="Arial" w:cs="Arial"/>
          <w:sz w:val="20"/>
          <w:szCs w:val="20"/>
        </w:rPr>
        <w:t>used for the development of the workpaper</w:t>
      </w:r>
      <w:r w:rsidR="00763FAC">
        <w:rPr>
          <w:rFonts w:ascii="Arial" w:hAnsi="Arial" w:cs="Arial"/>
          <w:sz w:val="20"/>
          <w:szCs w:val="20"/>
        </w:rPr>
        <w:t xml:space="preserve"> </w:t>
      </w:r>
      <w:r w:rsidR="00A071AC">
        <w:rPr>
          <w:rFonts w:ascii="Arial" w:hAnsi="Arial" w:cs="Arial"/>
          <w:sz w:val="20"/>
          <w:szCs w:val="20"/>
        </w:rPr>
        <w:t>and</w:t>
      </w:r>
      <w:r w:rsidR="00763FAC">
        <w:rPr>
          <w:rFonts w:ascii="Arial" w:hAnsi="Arial" w:cs="Arial"/>
          <w:sz w:val="20"/>
          <w:szCs w:val="20"/>
        </w:rPr>
        <w:t xml:space="preserve"> </w:t>
      </w:r>
      <w:r w:rsidR="00A071AC">
        <w:rPr>
          <w:rFonts w:ascii="Arial" w:hAnsi="Arial" w:cs="Arial"/>
          <w:sz w:val="20"/>
          <w:szCs w:val="20"/>
        </w:rPr>
        <w:t xml:space="preserve">briefly </w:t>
      </w:r>
      <w:r w:rsidR="00763FAC">
        <w:rPr>
          <w:rFonts w:ascii="Arial" w:hAnsi="Arial" w:cs="Arial"/>
          <w:sz w:val="20"/>
          <w:szCs w:val="20"/>
        </w:rPr>
        <w:t>described below</w:t>
      </w:r>
      <w:r w:rsidR="004E7408">
        <w:rPr>
          <w:rFonts w:ascii="Arial" w:hAnsi="Arial" w:cs="Arial"/>
          <w:sz w:val="20"/>
          <w:szCs w:val="20"/>
        </w:rPr>
        <w:t>:</w:t>
      </w:r>
    </w:p>
    <w:p w14:paraId="1D4FDCF8" w14:textId="499A8E4A" w:rsidR="004225F5" w:rsidRPr="004225F5" w:rsidRDefault="005D62D7" w:rsidP="005D62D7">
      <w:pPr>
        <w:pStyle w:val="Heading3"/>
      </w:pPr>
      <w:bookmarkStart w:id="70" w:name="_Toc511038033"/>
      <w:bookmarkStart w:id="71" w:name="_Toc2804905"/>
      <w:r w:rsidRPr="00763FAC">
        <w:t xml:space="preserve">1.5.1 </w:t>
      </w:r>
      <w:r w:rsidR="00763FAC">
        <w:t>Lighting Dispositions</w:t>
      </w:r>
      <w:bookmarkEnd w:id="70"/>
      <w:bookmarkEnd w:id="71"/>
    </w:p>
    <w:p w14:paraId="3021E51F" w14:textId="3F2CE5AC" w:rsidR="004225F5" w:rsidRPr="00763FAC" w:rsidRDefault="004225F5" w:rsidP="004225F5">
      <w:pPr>
        <w:rPr>
          <w:rFonts w:ascii="Arial" w:hAnsi="Arial" w:cs="Arial"/>
          <w:sz w:val="20"/>
          <w:szCs w:val="20"/>
        </w:rPr>
      </w:pPr>
      <w:r w:rsidRPr="00763FAC">
        <w:rPr>
          <w:rFonts w:ascii="Arial" w:hAnsi="Arial" w:cs="Arial"/>
          <w:sz w:val="20"/>
          <w:szCs w:val="20"/>
        </w:rPr>
        <w:t>There were t</w:t>
      </w:r>
      <w:r w:rsidR="00E05414">
        <w:rPr>
          <w:rFonts w:ascii="Arial" w:hAnsi="Arial" w:cs="Arial"/>
          <w:sz w:val="20"/>
          <w:szCs w:val="20"/>
        </w:rPr>
        <w:t>hree</w:t>
      </w:r>
      <w:r w:rsidRPr="00763FAC">
        <w:rPr>
          <w:rFonts w:ascii="Arial" w:hAnsi="Arial" w:cs="Arial"/>
          <w:sz w:val="20"/>
          <w:szCs w:val="20"/>
        </w:rPr>
        <w:t xml:space="preserve"> lighting dispositions that were issued relevant to the development of this workpaper:</w:t>
      </w:r>
    </w:p>
    <w:p w14:paraId="1C49C885" w14:textId="36B0A83E" w:rsidR="004225F5" w:rsidRPr="00763FAC" w:rsidRDefault="004225F5" w:rsidP="006666F0">
      <w:pPr>
        <w:pStyle w:val="ListParagraph"/>
        <w:numPr>
          <w:ilvl w:val="0"/>
          <w:numId w:val="7"/>
        </w:numPr>
        <w:rPr>
          <w:rFonts w:ascii="Arial" w:hAnsi="Arial" w:cs="Arial"/>
          <w:sz w:val="20"/>
          <w:szCs w:val="20"/>
        </w:rPr>
      </w:pPr>
      <w:r w:rsidRPr="00763FAC">
        <w:rPr>
          <w:rFonts w:ascii="Arial" w:hAnsi="Arial" w:cs="Arial"/>
          <w:sz w:val="20"/>
          <w:szCs w:val="20"/>
        </w:rPr>
        <w:t>PGECOLTG178r3_DetailedReview_29Sep2017-final1.pdf</w:t>
      </w:r>
      <w:r w:rsidR="00763FAC">
        <w:rPr>
          <w:rFonts w:ascii="Arial" w:hAnsi="Arial" w:cs="Arial"/>
          <w:sz w:val="20"/>
          <w:szCs w:val="20"/>
        </w:rPr>
        <w:t xml:space="preserve"> (Issued September 29, 2017)</w:t>
      </w:r>
    </w:p>
    <w:p w14:paraId="295DA045" w14:textId="11607122" w:rsidR="004225F5" w:rsidRDefault="00775A54" w:rsidP="006666F0">
      <w:pPr>
        <w:pStyle w:val="ListParagraph"/>
        <w:numPr>
          <w:ilvl w:val="0"/>
          <w:numId w:val="7"/>
        </w:numPr>
        <w:rPr>
          <w:rFonts w:ascii="Arial" w:hAnsi="Arial" w:cs="Arial"/>
          <w:sz w:val="20"/>
          <w:szCs w:val="20"/>
        </w:rPr>
      </w:pPr>
      <w:r w:rsidRPr="00775A54">
        <w:rPr>
          <w:rFonts w:ascii="Arial" w:hAnsi="Arial" w:cs="Arial"/>
          <w:sz w:val="20"/>
          <w:szCs w:val="20"/>
        </w:rPr>
        <w:t>High Bay Fixtures Disposition_03262018.docx-1</w:t>
      </w:r>
      <w:r>
        <w:rPr>
          <w:rFonts w:ascii="Arial" w:hAnsi="Arial" w:cs="Arial"/>
          <w:sz w:val="20"/>
          <w:szCs w:val="20"/>
        </w:rPr>
        <w:t>.</w:t>
      </w:r>
      <w:r w:rsidR="004225F5" w:rsidRPr="00763FAC">
        <w:rPr>
          <w:rFonts w:ascii="Arial" w:hAnsi="Arial" w:cs="Arial"/>
          <w:sz w:val="20"/>
          <w:szCs w:val="20"/>
        </w:rPr>
        <w:t>pdf</w:t>
      </w:r>
      <w:r w:rsidR="00763FAC">
        <w:rPr>
          <w:rFonts w:ascii="Arial" w:hAnsi="Arial" w:cs="Arial"/>
          <w:sz w:val="20"/>
          <w:szCs w:val="20"/>
        </w:rPr>
        <w:t xml:space="preserve"> (Issued March 26, 2018)</w:t>
      </w:r>
    </w:p>
    <w:p w14:paraId="398FCE36" w14:textId="62CBC544" w:rsidR="00E05414" w:rsidRPr="00763FAC" w:rsidRDefault="00E05414" w:rsidP="00E05414">
      <w:pPr>
        <w:pStyle w:val="ListParagraph"/>
        <w:numPr>
          <w:ilvl w:val="0"/>
          <w:numId w:val="7"/>
        </w:numPr>
        <w:rPr>
          <w:rFonts w:ascii="Arial" w:hAnsi="Arial" w:cs="Arial"/>
          <w:sz w:val="20"/>
          <w:szCs w:val="20"/>
        </w:rPr>
      </w:pPr>
      <w:r w:rsidRPr="00E05414">
        <w:rPr>
          <w:rFonts w:ascii="Arial" w:hAnsi="Arial" w:cs="Arial"/>
          <w:sz w:val="20"/>
          <w:szCs w:val="20"/>
        </w:rPr>
        <w:t>InteriorHighAndLowBayLEDPhase2-7May2018-Final</w:t>
      </w:r>
      <w:r>
        <w:rPr>
          <w:rFonts w:ascii="Arial" w:hAnsi="Arial" w:cs="Arial"/>
          <w:sz w:val="20"/>
          <w:szCs w:val="20"/>
        </w:rPr>
        <w:t xml:space="preserve"> (Issued May 7, 201</w:t>
      </w:r>
      <w:r w:rsidR="00C57427">
        <w:rPr>
          <w:rFonts w:ascii="Arial" w:hAnsi="Arial" w:cs="Arial"/>
          <w:sz w:val="20"/>
          <w:szCs w:val="20"/>
        </w:rPr>
        <w:t>8)</w:t>
      </w:r>
    </w:p>
    <w:p w14:paraId="6DD405F9" w14:textId="31A120BD" w:rsidR="005D62D7" w:rsidRDefault="005D62D7" w:rsidP="004225F5">
      <w:pPr>
        <w:rPr>
          <w:rFonts w:ascii="Arial" w:hAnsi="Arial" w:cs="Arial"/>
          <w:sz w:val="20"/>
          <w:szCs w:val="20"/>
          <w:highlight w:val="yellow"/>
        </w:rPr>
      </w:pPr>
    </w:p>
    <w:p w14:paraId="548873D6" w14:textId="77777777" w:rsidR="00763FAC" w:rsidRPr="00763FAC" w:rsidRDefault="00763FAC" w:rsidP="00763FAC">
      <w:pPr>
        <w:rPr>
          <w:rFonts w:ascii="Arial" w:hAnsi="Arial" w:cs="Arial"/>
          <w:sz w:val="20"/>
          <w:szCs w:val="20"/>
        </w:rPr>
      </w:pPr>
      <w:r w:rsidRPr="00763FAC">
        <w:rPr>
          <w:rFonts w:ascii="Arial" w:hAnsi="Arial" w:cs="Arial"/>
          <w:sz w:val="20"/>
          <w:szCs w:val="20"/>
        </w:rPr>
        <w:t>As outlined in the “Disposition for Workpaper PGECOLTG178-REV3 Covering High and Low Bay LED Fixtures” dated September 29, 2017, the PAs will address the following:</w:t>
      </w:r>
    </w:p>
    <w:p w14:paraId="11D0CB9C" w14:textId="00F90E40" w:rsidR="00763FAC" w:rsidRPr="00775A54" w:rsidRDefault="00763FAC" w:rsidP="006666F0">
      <w:pPr>
        <w:pStyle w:val="ListParagraph"/>
        <w:numPr>
          <w:ilvl w:val="0"/>
          <w:numId w:val="8"/>
        </w:numPr>
        <w:rPr>
          <w:rFonts w:ascii="Arial" w:hAnsi="Arial" w:cs="Arial"/>
          <w:i/>
          <w:sz w:val="20"/>
          <w:szCs w:val="20"/>
        </w:rPr>
      </w:pPr>
      <w:r w:rsidRPr="00775A54">
        <w:rPr>
          <w:rFonts w:ascii="Arial" w:hAnsi="Arial" w:cs="Arial"/>
          <w:i/>
          <w:sz w:val="20"/>
          <w:szCs w:val="20"/>
        </w:rPr>
        <w:t>Develop a standard practice baseline that reflects the typical mixture of efficiency levels that are currently selected in normal replacement situations.</w:t>
      </w:r>
    </w:p>
    <w:p w14:paraId="121FE49C" w14:textId="681FD055" w:rsidR="00763FAC" w:rsidRPr="00775A54" w:rsidRDefault="00763FAC" w:rsidP="006666F0">
      <w:pPr>
        <w:pStyle w:val="ListParagraph"/>
        <w:numPr>
          <w:ilvl w:val="0"/>
          <w:numId w:val="8"/>
        </w:numPr>
        <w:rPr>
          <w:rFonts w:ascii="Arial" w:hAnsi="Arial" w:cs="Arial"/>
          <w:i/>
          <w:sz w:val="20"/>
          <w:szCs w:val="20"/>
        </w:rPr>
      </w:pPr>
      <w:r w:rsidRPr="00775A54">
        <w:rPr>
          <w:rFonts w:ascii="Arial" w:hAnsi="Arial" w:cs="Arial"/>
          <w:i/>
          <w:sz w:val="20"/>
          <w:szCs w:val="20"/>
        </w:rPr>
        <w:t>Define measure tiers in a way that assigns greater savings for higher performance products and place an efficacy floor on eligible products.</w:t>
      </w:r>
    </w:p>
    <w:p w14:paraId="6C91EC57" w14:textId="1A822ACA" w:rsidR="00763FAC" w:rsidRPr="00775A54" w:rsidRDefault="00763FAC" w:rsidP="006666F0">
      <w:pPr>
        <w:pStyle w:val="ListParagraph"/>
        <w:numPr>
          <w:ilvl w:val="0"/>
          <w:numId w:val="8"/>
        </w:numPr>
        <w:rPr>
          <w:rFonts w:ascii="Arial" w:hAnsi="Arial" w:cs="Arial"/>
          <w:i/>
          <w:sz w:val="20"/>
          <w:szCs w:val="20"/>
        </w:rPr>
      </w:pPr>
      <w:r w:rsidRPr="00775A54">
        <w:rPr>
          <w:rFonts w:ascii="Arial" w:hAnsi="Arial" w:cs="Arial"/>
          <w:i/>
          <w:sz w:val="20"/>
          <w:szCs w:val="20"/>
        </w:rPr>
        <w:t>Due to the rapid changes in the marketplace, update the measures at least annually.</w:t>
      </w:r>
    </w:p>
    <w:p w14:paraId="3524C43C" w14:textId="79BF1A9F" w:rsidR="00763FAC" w:rsidRPr="00775A54" w:rsidRDefault="00763FAC" w:rsidP="006666F0">
      <w:pPr>
        <w:pStyle w:val="ListParagraph"/>
        <w:numPr>
          <w:ilvl w:val="0"/>
          <w:numId w:val="8"/>
        </w:numPr>
        <w:rPr>
          <w:rFonts w:ascii="Arial" w:hAnsi="Arial" w:cs="Arial"/>
          <w:i/>
          <w:sz w:val="20"/>
          <w:szCs w:val="20"/>
        </w:rPr>
      </w:pPr>
      <w:r w:rsidRPr="00775A54">
        <w:rPr>
          <w:rFonts w:ascii="Arial" w:hAnsi="Arial" w:cs="Arial"/>
          <w:i/>
          <w:sz w:val="20"/>
          <w:szCs w:val="20"/>
        </w:rPr>
        <w:t>Revise measure definitions so that baseline and measure zonal lumen output levels represent similar levels of service.</w:t>
      </w:r>
    </w:p>
    <w:p w14:paraId="336D3CF9" w14:textId="64FF54F3" w:rsidR="00775A54" w:rsidRDefault="00775A54" w:rsidP="00775A54">
      <w:pPr>
        <w:rPr>
          <w:rFonts w:ascii="Arial" w:hAnsi="Arial" w:cs="Arial"/>
          <w:sz w:val="20"/>
          <w:szCs w:val="20"/>
        </w:rPr>
      </w:pPr>
    </w:p>
    <w:p w14:paraId="326AC7F8" w14:textId="1B8CC3DE" w:rsidR="00775A54" w:rsidRDefault="00775A54" w:rsidP="00775A54">
      <w:pPr>
        <w:rPr>
          <w:rFonts w:ascii="Arial" w:hAnsi="Arial" w:cs="Arial"/>
          <w:sz w:val="20"/>
          <w:szCs w:val="20"/>
        </w:rPr>
      </w:pPr>
      <w:r>
        <w:rPr>
          <w:rFonts w:ascii="Arial" w:hAnsi="Arial" w:cs="Arial"/>
          <w:sz w:val="20"/>
          <w:szCs w:val="20"/>
        </w:rPr>
        <w:t xml:space="preserve">In the </w:t>
      </w:r>
      <w:r w:rsidR="00842D70" w:rsidRPr="00E0642C">
        <w:rPr>
          <w:rFonts w:ascii="Arial" w:hAnsi="Arial" w:cs="Arial"/>
          <w:sz w:val="20"/>
          <w:szCs w:val="20"/>
        </w:rPr>
        <w:t>InteriorHighAndLowBayLEDPhase2-7May2018-Final”</w:t>
      </w:r>
      <w:r w:rsidR="00842D70">
        <w:rPr>
          <w:rFonts w:ascii="Arial" w:hAnsi="Arial" w:cs="Arial"/>
          <w:sz w:val="20"/>
          <w:szCs w:val="20"/>
        </w:rPr>
        <w:t xml:space="preserve"> disposition</w:t>
      </w:r>
      <w:r w:rsidR="002A65CD">
        <w:rPr>
          <w:rFonts w:ascii="Arial" w:hAnsi="Arial" w:cs="Arial"/>
          <w:sz w:val="20"/>
          <w:szCs w:val="20"/>
        </w:rPr>
        <w:t>, PG&amp;E was directed</w:t>
      </w:r>
      <w:r>
        <w:rPr>
          <w:rFonts w:ascii="Arial" w:hAnsi="Arial" w:cs="Arial"/>
          <w:sz w:val="20"/>
          <w:szCs w:val="20"/>
        </w:rPr>
        <w:t xml:space="preserve"> to </w:t>
      </w:r>
      <w:r w:rsidR="00E36423">
        <w:rPr>
          <w:rFonts w:ascii="Arial" w:hAnsi="Arial" w:cs="Arial"/>
          <w:sz w:val="20"/>
          <w:szCs w:val="20"/>
        </w:rPr>
        <w:t xml:space="preserve">do </w:t>
      </w:r>
      <w:r>
        <w:rPr>
          <w:rFonts w:ascii="Arial" w:hAnsi="Arial" w:cs="Arial"/>
          <w:sz w:val="20"/>
          <w:szCs w:val="20"/>
        </w:rPr>
        <w:t>the following:</w:t>
      </w:r>
    </w:p>
    <w:p w14:paraId="278E74C5" w14:textId="4A243011" w:rsidR="009440BF" w:rsidRDefault="009440BF" w:rsidP="006666F0">
      <w:pPr>
        <w:pStyle w:val="ListParagraph"/>
        <w:numPr>
          <w:ilvl w:val="0"/>
          <w:numId w:val="11"/>
        </w:numPr>
        <w:rPr>
          <w:rFonts w:ascii="Arial" w:hAnsi="Arial" w:cs="Arial"/>
          <w:i/>
          <w:sz w:val="20"/>
          <w:szCs w:val="20"/>
        </w:rPr>
      </w:pPr>
      <w:r>
        <w:rPr>
          <w:rFonts w:ascii="Arial" w:hAnsi="Arial" w:cs="Arial"/>
          <w:i/>
          <w:sz w:val="20"/>
          <w:szCs w:val="20"/>
        </w:rPr>
        <w:t>Required to work with Commis</w:t>
      </w:r>
      <w:r w:rsidR="00734DF2">
        <w:rPr>
          <w:rFonts w:ascii="Arial" w:hAnsi="Arial" w:cs="Arial"/>
          <w:i/>
          <w:sz w:val="20"/>
          <w:szCs w:val="20"/>
        </w:rPr>
        <w:t>sion Staff over the course of next few days to develop interim ex ante values that will become effective April 1, 2018.</w:t>
      </w:r>
    </w:p>
    <w:p w14:paraId="28251F0F" w14:textId="46A79F13" w:rsidR="00775A54" w:rsidRPr="00775A54" w:rsidRDefault="00775A54" w:rsidP="006666F0">
      <w:pPr>
        <w:pStyle w:val="ListParagraph"/>
        <w:numPr>
          <w:ilvl w:val="0"/>
          <w:numId w:val="11"/>
        </w:numPr>
        <w:rPr>
          <w:rFonts w:ascii="Arial" w:hAnsi="Arial" w:cs="Arial"/>
          <w:i/>
          <w:sz w:val="20"/>
          <w:szCs w:val="20"/>
        </w:rPr>
      </w:pPr>
      <w:r w:rsidRPr="00775A54">
        <w:rPr>
          <w:rFonts w:ascii="Arial" w:hAnsi="Arial" w:cs="Arial"/>
          <w:i/>
          <w:sz w:val="20"/>
          <w:szCs w:val="20"/>
        </w:rPr>
        <w:t>Encouraged to continue to engage with Commission staff if there is continued uncertainty regarding how PG&amp;E can meet the compliance requirements within the September 29, 2017, staff disposition.</w:t>
      </w:r>
    </w:p>
    <w:p w14:paraId="6BA96CB5" w14:textId="271FF125" w:rsidR="00775A54" w:rsidRDefault="00775A54" w:rsidP="006666F0">
      <w:pPr>
        <w:pStyle w:val="ListParagraph"/>
        <w:numPr>
          <w:ilvl w:val="0"/>
          <w:numId w:val="11"/>
        </w:numPr>
        <w:rPr>
          <w:rFonts w:ascii="Arial" w:hAnsi="Arial" w:cs="Arial"/>
          <w:i/>
          <w:sz w:val="20"/>
          <w:szCs w:val="20"/>
        </w:rPr>
      </w:pPr>
      <w:r w:rsidRPr="00775A54">
        <w:rPr>
          <w:rFonts w:ascii="Arial" w:hAnsi="Arial" w:cs="Arial"/>
          <w:i/>
          <w:sz w:val="20"/>
          <w:szCs w:val="20"/>
        </w:rPr>
        <w:t>Shall work with Commission staff and their consultants to develop interim ex ante value ASAP over the next two weeks that allow a resubmission of R3 using those interim values until more robust standard practice baseline work can be completed.</w:t>
      </w:r>
    </w:p>
    <w:p w14:paraId="0F72D85C" w14:textId="3CFDBBF4" w:rsidR="00A071AC" w:rsidRDefault="00A071AC" w:rsidP="00A071AC">
      <w:pPr>
        <w:rPr>
          <w:rFonts w:ascii="Arial" w:hAnsi="Arial" w:cs="Arial"/>
          <w:sz w:val="20"/>
          <w:szCs w:val="20"/>
        </w:rPr>
      </w:pPr>
    </w:p>
    <w:p w14:paraId="6D20646B" w14:textId="6F18872E" w:rsidR="00A071AC" w:rsidRPr="00447E39" w:rsidRDefault="00A071AC" w:rsidP="00A071AC">
      <w:pPr>
        <w:rPr>
          <w:rFonts w:ascii="Arial" w:hAnsi="Arial" w:cs="Arial"/>
          <w:sz w:val="20"/>
          <w:szCs w:val="20"/>
        </w:rPr>
      </w:pPr>
      <w:r w:rsidRPr="00447E39">
        <w:rPr>
          <w:rFonts w:ascii="Arial" w:hAnsi="Arial" w:cs="Arial"/>
          <w:sz w:val="20"/>
          <w:szCs w:val="20"/>
        </w:rPr>
        <w:t xml:space="preserve">As a result of these dispositions, R3 of this workpaper </w:t>
      </w:r>
      <w:r w:rsidR="00E36423">
        <w:rPr>
          <w:rFonts w:ascii="Arial" w:hAnsi="Arial" w:cs="Arial"/>
          <w:sz w:val="20"/>
          <w:szCs w:val="20"/>
        </w:rPr>
        <w:t xml:space="preserve">was created in April 2018 to </w:t>
      </w:r>
      <w:r w:rsidRPr="00447E39">
        <w:rPr>
          <w:rFonts w:ascii="Arial" w:hAnsi="Arial" w:cs="Arial"/>
          <w:sz w:val="20"/>
          <w:szCs w:val="20"/>
        </w:rPr>
        <w:t xml:space="preserve">reflect the agreed </w:t>
      </w:r>
      <w:r w:rsidR="001A6426">
        <w:rPr>
          <w:rFonts w:ascii="Arial" w:hAnsi="Arial" w:cs="Arial"/>
          <w:sz w:val="20"/>
          <w:szCs w:val="20"/>
        </w:rPr>
        <w:t xml:space="preserve">upon </w:t>
      </w:r>
      <w:r w:rsidRPr="00447E39">
        <w:rPr>
          <w:rFonts w:ascii="Arial" w:hAnsi="Arial" w:cs="Arial"/>
          <w:sz w:val="20"/>
          <w:szCs w:val="20"/>
        </w:rPr>
        <w:t>interim approach</w:t>
      </w:r>
      <w:r w:rsidR="00476007" w:rsidRPr="00447E39">
        <w:rPr>
          <w:rFonts w:ascii="Arial" w:hAnsi="Arial" w:cs="Arial"/>
          <w:sz w:val="20"/>
          <w:szCs w:val="20"/>
        </w:rPr>
        <w:t>.</w:t>
      </w:r>
      <w:r w:rsidR="00E36423">
        <w:rPr>
          <w:rFonts w:ascii="Arial" w:hAnsi="Arial" w:cs="Arial"/>
          <w:sz w:val="20"/>
          <w:szCs w:val="20"/>
        </w:rPr>
        <w:t xml:space="preserve"> This revision, R4, </w:t>
      </w:r>
      <w:r w:rsidR="00FC1C58">
        <w:rPr>
          <w:rFonts w:ascii="Arial" w:hAnsi="Arial" w:cs="Arial"/>
          <w:sz w:val="20"/>
          <w:szCs w:val="20"/>
        </w:rPr>
        <w:t>adds a conversion of the measure structure from wattage bins to lumen bins, and the addition of TLEDs to the base case mix.</w:t>
      </w:r>
    </w:p>
    <w:p w14:paraId="5858DE3F" w14:textId="448DBEC1" w:rsidR="001537C0" w:rsidRPr="00447E39" w:rsidRDefault="001537C0" w:rsidP="00A071AC">
      <w:pPr>
        <w:rPr>
          <w:rFonts w:ascii="Arial" w:hAnsi="Arial" w:cs="Arial"/>
          <w:sz w:val="20"/>
          <w:szCs w:val="20"/>
        </w:rPr>
      </w:pPr>
    </w:p>
    <w:p w14:paraId="6C39B55A" w14:textId="7C4656E5" w:rsidR="0048792B" w:rsidRPr="00A071AC" w:rsidRDefault="0048792B" w:rsidP="0024210B">
      <w:pPr>
        <w:pStyle w:val="Heading3"/>
        <w:spacing w:before="0"/>
      </w:pPr>
      <w:bookmarkStart w:id="72" w:name="_Toc2804906"/>
      <w:r>
        <w:t>1.5.2</w:t>
      </w:r>
      <w:r w:rsidRPr="0048792B">
        <w:t xml:space="preserve"> California LED Pricing Analysis, Navigant 2018</w:t>
      </w:r>
      <w:r w:rsidR="007B0C19">
        <w:rPr>
          <w:rStyle w:val="EndnoteReference"/>
        </w:rPr>
        <w:endnoteReference w:id="11"/>
      </w:r>
      <w:bookmarkEnd w:id="72"/>
    </w:p>
    <w:p w14:paraId="4438CBD2" w14:textId="77777777" w:rsidR="00F84644" w:rsidRPr="00392C00" w:rsidRDefault="00F84644" w:rsidP="00F84644">
      <w:pPr>
        <w:rPr>
          <w:rFonts w:ascii="Arial" w:hAnsi="Arial" w:cs="Arial"/>
          <w:sz w:val="20"/>
          <w:szCs w:val="20"/>
        </w:rPr>
      </w:pPr>
      <w:r w:rsidRPr="00392C00">
        <w:rPr>
          <w:rFonts w:ascii="Arial" w:hAnsi="Arial" w:cs="Arial"/>
          <w:sz w:val="20"/>
          <w:szCs w:val="20"/>
        </w:rPr>
        <w:t xml:space="preserve">This market study to evaluate LED product pricing was completed by Navigant Consulting, Inc. in January 2018. This study’s objectives included 1) identifying the range of current prices for DLC and ENERGYSTAR qualified LED products in the California non-residential lighting market for certain priority product categories selected by the IOUs including the LED </w:t>
      </w:r>
      <w:proofErr w:type="spellStart"/>
      <w:r w:rsidRPr="00392C00">
        <w:rPr>
          <w:rFonts w:ascii="Arial" w:hAnsi="Arial" w:cs="Arial"/>
          <w:sz w:val="20"/>
          <w:szCs w:val="20"/>
        </w:rPr>
        <w:t>Highbay</w:t>
      </w:r>
      <w:proofErr w:type="spellEnd"/>
      <w:r w:rsidRPr="00392C00">
        <w:rPr>
          <w:rFonts w:ascii="Arial" w:hAnsi="Arial" w:cs="Arial"/>
          <w:sz w:val="20"/>
          <w:szCs w:val="20"/>
        </w:rPr>
        <w:t>/</w:t>
      </w:r>
      <w:proofErr w:type="spellStart"/>
      <w:r w:rsidRPr="00392C00">
        <w:rPr>
          <w:rFonts w:ascii="Arial" w:hAnsi="Arial" w:cs="Arial"/>
          <w:sz w:val="20"/>
          <w:szCs w:val="20"/>
        </w:rPr>
        <w:t>Lowbay</w:t>
      </w:r>
      <w:proofErr w:type="spellEnd"/>
      <w:r w:rsidRPr="00392C00">
        <w:rPr>
          <w:rFonts w:ascii="Arial" w:hAnsi="Arial" w:cs="Arial"/>
          <w:sz w:val="20"/>
          <w:szCs w:val="20"/>
        </w:rPr>
        <w:t xml:space="preserve"> lighting product category, 2) determining what factors significantly influence LED price, 3) developing an incremental cost estimate relative to identified baseline technologies (MH, HPS, LF, CFL), and to 4) determine how, and at what rate LED price ranges are anticipated to change as the market matures 3 and 5 years out from 2017. </w:t>
      </w:r>
    </w:p>
    <w:p w14:paraId="51F00DFB" w14:textId="77777777" w:rsidR="00F84644" w:rsidRPr="00392C00" w:rsidRDefault="00F84644" w:rsidP="00F84644">
      <w:pPr>
        <w:rPr>
          <w:rFonts w:ascii="Arial" w:hAnsi="Arial" w:cs="Arial"/>
          <w:sz w:val="20"/>
          <w:szCs w:val="20"/>
        </w:rPr>
      </w:pPr>
    </w:p>
    <w:p w14:paraId="01553619" w14:textId="77777777" w:rsidR="00F84644" w:rsidRPr="00392C00" w:rsidRDefault="00F84644" w:rsidP="00F84644">
      <w:pPr>
        <w:rPr>
          <w:rFonts w:ascii="Arial" w:hAnsi="Arial" w:cs="Arial"/>
          <w:sz w:val="20"/>
          <w:szCs w:val="20"/>
        </w:rPr>
      </w:pPr>
      <w:r w:rsidRPr="00392C00">
        <w:rPr>
          <w:rFonts w:ascii="Arial" w:hAnsi="Arial" w:cs="Arial"/>
          <w:sz w:val="20"/>
          <w:szCs w:val="20"/>
        </w:rPr>
        <w:t xml:space="preserve">Price data from 2016 Q4 and 2017 Q2 was collected from California IOU Program data and from Navigant Research’s LED Price Tracker, which utilizes web-scraping software to collect data on product pricing and specifications online. Of the LED products, only those that met DLC’s technical requirements were included in the study analysis. To determine which factors significantly influence LED prices, a multiple variable regression was conducted to determine the correlation between various product specifications and price. </w:t>
      </w:r>
    </w:p>
    <w:p w14:paraId="3D08FD60" w14:textId="77777777" w:rsidR="00F84644" w:rsidRPr="00392C00" w:rsidRDefault="00F84644" w:rsidP="00F84644">
      <w:pPr>
        <w:rPr>
          <w:rFonts w:ascii="Arial" w:hAnsi="Arial" w:cs="Arial"/>
          <w:sz w:val="20"/>
          <w:szCs w:val="20"/>
        </w:rPr>
      </w:pPr>
    </w:p>
    <w:p w14:paraId="1CED30BB" w14:textId="6DB62D06" w:rsidR="00F84644" w:rsidRPr="00392C00" w:rsidRDefault="00F84644" w:rsidP="00F84644">
      <w:pPr>
        <w:rPr>
          <w:rFonts w:ascii="Arial" w:hAnsi="Arial" w:cs="Arial"/>
          <w:sz w:val="20"/>
          <w:szCs w:val="20"/>
        </w:rPr>
      </w:pPr>
      <w:r w:rsidRPr="00392C00">
        <w:rPr>
          <w:rFonts w:ascii="Arial" w:hAnsi="Arial" w:cs="Arial"/>
          <w:sz w:val="20"/>
          <w:szCs w:val="20"/>
        </w:rPr>
        <w:t xml:space="preserve">The results of the study initially showed that the biggest driver influencing LED price is lumen output, followed by manufacturer, DLC qualification, and CRI. Efficacy was not one of the significant price </w:t>
      </w:r>
      <w:bookmarkStart w:id="73" w:name="_GoBack"/>
      <w:bookmarkEnd w:id="73"/>
      <w:r w:rsidRPr="00392C00">
        <w:rPr>
          <w:rFonts w:ascii="Arial" w:hAnsi="Arial" w:cs="Arial"/>
          <w:sz w:val="20"/>
          <w:szCs w:val="20"/>
        </w:rPr>
        <w:t xml:space="preserve">determining characteristics. Furthermore, even as DLC efficacy requirements have increased over time, prices have continued to decline. According to the study, price does not appear to scale with efficacy for any of the LED product categories evaluated, including LED </w:t>
      </w:r>
      <w:proofErr w:type="spellStart"/>
      <w:r w:rsidRPr="00392C00">
        <w:rPr>
          <w:rFonts w:ascii="Arial" w:hAnsi="Arial" w:cs="Arial"/>
          <w:sz w:val="20"/>
          <w:szCs w:val="20"/>
        </w:rPr>
        <w:t>Highbay</w:t>
      </w:r>
      <w:proofErr w:type="spellEnd"/>
      <w:r w:rsidRPr="00392C00">
        <w:rPr>
          <w:rFonts w:ascii="Arial" w:hAnsi="Arial" w:cs="Arial"/>
          <w:sz w:val="20"/>
          <w:szCs w:val="20"/>
        </w:rPr>
        <w:t>/</w:t>
      </w:r>
      <w:proofErr w:type="spellStart"/>
      <w:r w:rsidRPr="00392C00">
        <w:rPr>
          <w:rFonts w:ascii="Arial" w:hAnsi="Arial" w:cs="Arial"/>
          <w:sz w:val="20"/>
          <w:szCs w:val="20"/>
        </w:rPr>
        <w:t>Lowbay</w:t>
      </w:r>
      <w:proofErr w:type="spellEnd"/>
      <w:r w:rsidRPr="00392C00">
        <w:rPr>
          <w:rFonts w:ascii="Arial" w:hAnsi="Arial" w:cs="Arial"/>
          <w:sz w:val="20"/>
          <w:szCs w:val="20"/>
        </w:rPr>
        <w:t xml:space="preserve"> Lighting.</w:t>
      </w:r>
      <w:r w:rsidR="0064565E" w:rsidRPr="0064565E">
        <w:t xml:space="preserve"> </w:t>
      </w:r>
      <w:r w:rsidR="0064565E" w:rsidRPr="0064565E">
        <w:rPr>
          <w:rFonts w:ascii="Arial" w:hAnsi="Arial" w:cs="Arial"/>
          <w:sz w:val="20"/>
          <w:szCs w:val="20"/>
        </w:rPr>
        <w:t xml:space="preserve">LED deemed lighting measures have assumed that measure costs have scaled with efficacy, therefore this finding that efficacy may not be a key price driver implies that further analysis should be conducted to consider how to incorporate other price drivers in measure design to encourage the adoption of higher degrees of efficiency.  </w:t>
      </w:r>
      <w:r w:rsidR="00A758B1">
        <w:rPr>
          <w:rFonts w:ascii="Arial" w:hAnsi="Arial" w:cs="Arial"/>
          <w:sz w:val="20"/>
          <w:szCs w:val="20"/>
        </w:rPr>
        <w:t>PG&amp;E</w:t>
      </w:r>
      <w:r w:rsidR="00A758B1" w:rsidRPr="00392C00">
        <w:rPr>
          <w:rFonts w:ascii="Arial" w:hAnsi="Arial" w:cs="Arial"/>
          <w:sz w:val="20"/>
          <w:szCs w:val="20"/>
        </w:rPr>
        <w:t xml:space="preserve"> </w:t>
      </w:r>
      <w:r w:rsidRPr="00392C00">
        <w:rPr>
          <w:rFonts w:ascii="Arial" w:hAnsi="Arial" w:cs="Arial"/>
          <w:sz w:val="20"/>
          <w:szCs w:val="20"/>
        </w:rPr>
        <w:t xml:space="preserve">will consider a </w:t>
      </w:r>
      <w:r w:rsidR="00A758B1">
        <w:rPr>
          <w:rFonts w:ascii="Arial" w:hAnsi="Arial" w:cs="Arial"/>
          <w:sz w:val="20"/>
          <w:szCs w:val="20"/>
        </w:rPr>
        <w:t>measure</w:t>
      </w:r>
      <w:r w:rsidR="00A758B1" w:rsidRPr="00392C00">
        <w:rPr>
          <w:rFonts w:ascii="Arial" w:hAnsi="Arial" w:cs="Arial"/>
          <w:sz w:val="20"/>
          <w:szCs w:val="20"/>
        </w:rPr>
        <w:t xml:space="preserve"> </w:t>
      </w:r>
      <w:r w:rsidRPr="00392C00">
        <w:rPr>
          <w:rFonts w:ascii="Arial" w:hAnsi="Arial" w:cs="Arial"/>
          <w:sz w:val="20"/>
          <w:szCs w:val="20"/>
        </w:rPr>
        <w:t xml:space="preserve">structure that is tiered by both lumen output and efficacy in future workpaper updates that may include separate efficacy tiers. Further research studies to explore and understand the barriers to market adoption other than pricing are needed for future workpaper updates. </w:t>
      </w:r>
    </w:p>
    <w:p w14:paraId="5273479B" w14:textId="77777777" w:rsidR="00F84644" w:rsidRPr="00392C00" w:rsidRDefault="00F84644" w:rsidP="00F84644">
      <w:pPr>
        <w:rPr>
          <w:rFonts w:ascii="Arial" w:hAnsi="Arial" w:cs="Arial"/>
          <w:sz w:val="20"/>
          <w:szCs w:val="20"/>
        </w:rPr>
      </w:pPr>
    </w:p>
    <w:p w14:paraId="2B8EDEB3" w14:textId="77777777" w:rsidR="00F84644" w:rsidRPr="00392C00" w:rsidRDefault="00F84644" w:rsidP="00F84644">
      <w:pPr>
        <w:rPr>
          <w:rFonts w:ascii="Arial" w:hAnsi="Arial" w:cs="Arial"/>
          <w:sz w:val="20"/>
          <w:szCs w:val="20"/>
          <w:highlight w:val="yellow"/>
        </w:rPr>
      </w:pPr>
      <w:r w:rsidRPr="00392C00">
        <w:rPr>
          <w:rFonts w:ascii="Arial" w:hAnsi="Arial" w:cs="Arial"/>
          <w:sz w:val="20"/>
          <w:szCs w:val="20"/>
        </w:rPr>
        <w:t>Figure 1 below (Figure 3-5 in study) shows that the relationship between price and efficacy is highly randomized and there is a large spread in the dataset.  Although the Figure shows LED troffers, this phenomenon can be seen across the other lighting categories as well.</w:t>
      </w:r>
    </w:p>
    <w:p w14:paraId="23024741" w14:textId="71D62B8E" w:rsidR="00F84644" w:rsidRPr="00392C00" w:rsidRDefault="00694C35" w:rsidP="00F84644">
      <w:pPr>
        <w:keepNext/>
        <w:rPr>
          <w:rFonts w:ascii="Arial" w:hAnsi="Arial" w:cs="Arial"/>
          <w:sz w:val="20"/>
          <w:szCs w:val="20"/>
        </w:rPr>
      </w:pPr>
      <w:r>
        <w:rPr>
          <w:rFonts w:ascii="Arial" w:hAnsi="Arial" w:cs="Arial"/>
          <w:noProof/>
          <w:sz w:val="20"/>
          <w:szCs w:val="20"/>
        </w:rPr>
        <w:lastRenderedPageBreak/>
        <w:drawing>
          <wp:inline distT="0" distB="0" distL="0" distR="0" wp14:anchorId="2CE6B4FD" wp14:editId="400DF0A8">
            <wp:extent cx="4986655" cy="31470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86655" cy="3147060"/>
                    </a:xfrm>
                    <a:prstGeom prst="rect">
                      <a:avLst/>
                    </a:prstGeom>
                    <a:noFill/>
                    <a:ln>
                      <a:noFill/>
                    </a:ln>
                  </pic:spPr>
                </pic:pic>
              </a:graphicData>
            </a:graphic>
          </wp:inline>
        </w:drawing>
      </w:r>
    </w:p>
    <w:p w14:paraId="2974545E" w14:textId="23BBFB41" w:rsidR="00F84644" w:rsidRPr="00CC1031" w:rsidRDefault="00F84644" w:rsidP="00F84644">
      <w:pPr>
        <w:pStyle w:val="Caption"/>
      </w:pPr>
      <w:bookmarkStart w:id="74" w:name="_Toc2804949"/>
      <w:r w:rsidRPr="00CC1031">
        <w:t xml:space="preserve">Figure </w:t>
      </w:r>
      <w:fldSimple w:instr=" SEQ Figure \* ARABIC ">
        <w:r w:rsidR="007803A1">
          <w:rPr>
            <w:noProof/>
          </w:rPr>
          <w:t>1</w:t>
        </w:r>
      </w:fldSimple>
      <w:r w:rsidRPr="00CC1031">
        <w:t xml:space="preserve"> Web-based LED Price and Efficacy Data for Recessed Troffer/Panel 2’ x 4’</w:t>
      </w:r>
      <w:bookmarkEnd w:id="74"/>
      <w:r w:rsidRPr="00CC1031">
        <w:t xml:space="preserve"> </w:t>
      </w:r>
    </w:p>
    <w:p w14:paraId="0BBBBA83" w14:textId="42B3003A" w:rsidR="00F84644" w:rsidRPr="002C3514" w:rsidRDefault="002C3514" w:rsidP="00F84644">
      <w:pPr>
        <w:rPr>
          <w:rFonts w:ascii="Arial" w:hAnsi="Arial" w:cs="Arial"/>
          <w:sz w:val="20"/>
          <w:szCs w:val="20"/>
        </w:rPr>
      </w:pPr>
      <w:r w:rsidRPr="002C3514">
        <w:rPr>
          <w:rFonts w:ascii="Arial" w:hAnsi="Arial" w:cs="Arial"/>
          <w:sz w:val="20"/>
          <w:szCs w:val="20"/>
        </w:rPr>
        <w:t>(Source: California LED Pricing Analysis, Navigant, January 2018)</w:t>
      </w:r>
    </w:p>
    <w:p w14:paraId="681C99BE" w14:textId="77777777" w:rsidR="002C3514" w:rsidRPr="00392C00" w:rsidRDefault="002C3514" w:rsidP="00F84644">
      <w:pPr>
        <w:rPr>
          <w:rFonts w:ascii="Arial" w:hAnsi="Arial" w:cs="Arial"/>
          <w:sz w:val="20"/>
          <w:szCs w:val="20"/>
          <w:highlight w:val="yellow"/>
        </w:rPr>
      </w:pPr>
    </w:p>
    <w:p w14:paraId="3BEEE1D2" w14:textId="77777777" w:rsidR="00F84644" w:rsidRPr="00392C00" w:rsidRDefault="00F84644" w:rsidP="00F84644">
      <w:pPr>
        <w:rPr>
          <w:rFonts w:ascii="Arial" w:hAnsi="Arial" w:cs="Arial"/>
          <w:sz w:val="20"/>
          <w:szCs w:val="20"/>
        </w:rPr>
      </w:pPr>
      <w:r w:rsidRPr="00392C00">
        <w:rPr>
          <w:rFonts w:ascii="Arial" w:hAnsi="Arial" w:cs="Arial"/>
          <w:sz w:val="20"/>
          <w:szCs w:val="20"/>
        </w:rPr>
        <w:t>Lumen output and wattage have a direct relationship, increasing or decreasing proportionally. Therefore, the study’s indication that lumen output is a main driver of LED prices can also be interpreted that wattage may be a primary price driver. Since both factors could not be tested simultaneously due to their collinearity, only one was tested. Increasing lumen output in a product would also require increasing power load which could lead to eventually more drivers or more sophisticated drivers, which adds cost to the LED product. This supports traditional IOU Program rebate structure of offering higher incentives for higher wattage products because as wattage increases, so does product purchase price.</w:t>
      </w:r>
    </w:p>
    <w:p w14:paraId="565A11E6" w14:textId="77777777" w:rsidR="00F84644" w:rsidRPr="00392C00" w:rsidRDefault="00F84644" w:rsidP="00F84644">
      <w:pPr>
        <w:rPr>
          <w:rFonts w:ascii="Arial" w:hAnsi="Arial" w:cs="Arial"/>
          <w:sz w:val="20"/>
          <w:szCs w:val="20"/>
        </w:rPr>
      </w:pPr>
    </w:p>
    <w:p w14:paraId="586D91E0" w14:textId="77777777" w:rsidR="00F84644" w:rsidRPr="00392C00" w:rsidRDefault="00F84644" w:rsidP="00F84644">
      <w:pPr>
        <w:rPr>
          <w:rFonts w:ascii="Arial" w:hAnsi="Arial" w:cs="Arial"/>
          <w:sz w:val="20"/>
          <w:szCs w:val="20"/>
        </w:rPr>
      </w:pPr>
      <w:r w:rsidRPr="00392C00">
        <w:rPr>
          <w:rFonts w:ascii="Arial" w:hAnsi="Arial" w:cs="Arial"/>
          <w:sz w:val="20"/>
          <w:szCs w:val="20"/>
        </w:rPr>
        <w:t>The study also noted that the cost to manufacture a product is separate from the consumer purchase price of that product. So, although it may cost more to increase the efficacy of a product, that additional cost is not being reflected in the purchase price the way lumen output/wattage and manufacturer affect product price. It could be that manufacturers are making trade-offs with other performance parameters to keep prices down as they improve efficacy, but that was not evaluated in this study and could be important future research to better understand the factors that influence LED price.</w:t>
      </w:r>
    </w:p>
    <w:p w14:paraId="7E8218BC" w14:textId="77777777" w:rsidR="00F84644" w:rsidRPr="00392C00" w:rsidRDefault="00F84644" w:rsidP="00F84644">
      <w:pPr>
        <w:rPr>
          <w:rFonts w:ascii="Arial" w:hAnsi="Arial" w:cs="Arial"/>
          <w:sz w:val="20"/>
          <w:szCs w:val="20"/>
        </w:rPr>
      </w:pPr>
    </w:p>
    <w:p w14:paraId="5FFBE6BF" w14:textId="561A7FCE" w:rsidR="00F84644" w:rsidRPr="00392C00" w:rsidRDefault="00F84644" w:rsidP="00F84644">
      <w:pPr>
        <w:rPr>
          <w:rFonts w:ascii="Arial" w:hAnsi="Arial" w:cs="Arial"/>
          <w:sz w:val="20"/>
          <w:szCs w:val="20"/>
        </w:rPr>
      </w:pPr>
      <w:r w:rsidRPr="00392C00">
        <w:rPr>
          <w:rFonts w:ascii="Arial" w:hAnsi="Arial" w:cs="Arial"/>
          <w:sz w:val="20"/>
          <w:szCs w:val="20"/>
        </w:rPr>
        <w:t xml:space="preserve">Another important finding of this study was that a larger portion of retrofit installations include replacing lamps and ballasts only and not entire fixtures. This is due to the extremely long life of commercial baseline (MH, HPS, induction, linear fluorescent) fixtures. </w:t>
      </w:r>
      <w:r w:rsidR="001A6426" w:rsidRPr="00E40631">
        <w:rPr>
          <w:rFonts w:ascii="Arial" w:hAnsi="Arial" w:cs="Arial"/>
          <w:sz w:val="20"/>
          <w:szCs w:val="20"/>
        </w:rPr>
        <w:t>This finding has implications for this workpaper, and suggested that a base case mix other than 100% fixture-to-fixture is appropriate.  In addition, the incremental measure cost in the two scenarios is very different. Since a common consumer purchasing scenario includes replacement lamps and ballasts only, this workpaper has been modified to consider that scenario in the baseline.</w:t>
      </w:r>
    </w:p>
    <w:p w14:paraId="5DD0105E" w14:textId="77777777" w:rsidR="00F84644" w:rsidRPr="00392C00" w:rsidRDefault="00F84644" w:rsidP="00F84644">
      <w:pPr>
        <w:pStyle w:val="Default"/>
        <w:rPr>
          <w:color w:val="auto"/>
          <w:sz w:val="20"/>
          <w:szCs w:val="20"/>
        </w:rPr>
      </w:pPr>
    </w:p>
    <w:p w14:paraId="1210BDF8" w14:textId="77777777" w:rsidR="00F84644" w:rsidRPr="00BF592C" w:rsidRDefault="00F84644" w:rsidP="00F84644">
      <w:pPr>
        <w:pStyle w:val="Default"/>
        <w:rPr>
          <w:color w:val="auto"/>
          <w:sz w:val="20"/>
        </w:rPr>
      </w:pPr>
      <w:r w:rsidRPr="00392C00">
        <w:rPr>
          <w:color w:val="auto"/>
          <w:sz w:val="20"/>
          <w:szCs w:val="20"/>
        </w:rPr>
        <w:t xml:space="preserve">The study determined that prices will continue to decrease over the next 5 years; however, the rate of decline is slowing across all product categories. It will continue to be important to closely monitor LED prices and update </w:t>
      </w:r>
      <w:proofErr w:type="spellStart"/>
      <w:r w:rsidRPr="00392C00">
        <w:rPr>
          <w:color w:val="auto"/>
          <w:sz w:val="20"/>
          <w:szCs w:val="20"/>
        </w:rPr>
        <w:t>workpapers</w:t>
      </w:r>
      <w:proofErr w:type="spellEnd"/>
      <w:r w:rsidRPr="00392C00">
        <w:rPr>
          <w:color w:val="auto"/>
          <w:sz w:val="20"/>
          <w:szCs w:val="20"/>
        </w:rPr>
        <w:t xml:space="preserve"> at least annually.</w:t>
      </w:r>
    </w:p>
    <w:p w14:paraId="27548213" w14:textId="77777777" w:rsidR="00F84644" w:rsidRDefault="00F84644" w:rsidP="00F84644">
      <w:pPr>
        <w:pStyle w:val="Heading3"/>
      </w:pPr>
      <w:bookmarkStart w:id="75" w:name="_Toc511045277"/>
      <w:bookmarkStart w:id="76" w:name="_Toc511210587"/>
      <w:bookmarkStart w:id="77" w:name="_Toc2804907"/>
      <w:r w:rsidRPr="00BF592C">
        <w:lastRenderedPageBreak/>
        <w:t>1.5.3 LED Workpaper Update Study, Navigant 2015</w:t>
      </w:r>
      <w:bookmarkStart w:id="78" w:name="_Ref533747299"/>
      <w:r>
        <w:rPr>
          <w:rStyle w:val="EndnoteReference"/>
        </w:rPr>
        <w:endnoteReference w:id="12"/>
      </w:r>
      <w:bookmarkEnd w:id="75"/>
      <w:bookmarkEnd w:id="76"/>
      <w:bookmarkEnd w:id="77"/>
      <w:bookmarkEnd w:id="78"/>
    </w:p>
    <w:p w14:paraId="700EE878" w14:textId="77777777" w:rsidR="00F84644" w:rsidRPr="00392C00" w:rsidRDefault="00F84644" w:rsidP="00F84644">
      <w:pPr>
        <w:rPr>
          <w:rFonts w:ascii="Arial" w:hAnsi="Arial" w:cs="Arial"/>
          <w:sz w:val="20"/>
          <w:szCs w:val="20"/>
        </w:rPr>
      </w:pPr>
      <w:r w:rsidRPr="00392C00">
        <w:rPr>
          <w:rFonts w:ascii="Arial" w:hAnsi="Arial" w:cs="Arial"/>
          <w:sz w:val="20"/>
          <w:szCs w:val="20"/>
        </w:rPr>
        <w:t xml:space="preserve">The LED Workpaper Update Study, also conducted by Navigant Consulting </w:t>
      </w:r>
      <w:proofErr w:type="spellStart"/>
      <w:r w:rsidRPr="00392C00">
        <w:rPr>
          <w:rFonts w:ascii="Arial" w:hAnsi="Arial" w:cs="Arial"/>
          <w:sz w:val="20"/>
          <w:szCs w:val="20"/>
        </w:rPr>
        <w:t>Inc</w:t>
      </w:r>
      <w:proofErr w:type="spellEnd"/>
      <w:r w:rsidRPr="00392C00">
        <w:rPr>
          <w:rFonts w:ascii="Arial" w:hAnsi="Arial" w:cs="Arial"/>
          <w:sz w:val="20"/>
          <w:szCs w:val="20"/>
        </w:rPr>
        <w:t xml:space="preserve"> from 2015 was similar to the study completed in 2018. Its objective was to develop findings and recommendations for updates to key parameters and methodologies used in the </w:t>
      </w:r>
      <w:proofErr w:type="spellStart"/>
      <w:r w:rsidRPr="00392C00">
        <w:rPr>
          <w:rFonts w:ascii="Arial" w:hAnsi="Arial" w:cs="Arial"/>
          <w:sz w:val="20"/>
          <w:szCs w:val="20"/>
        </w:rPr>
        <w:t>workpapers</w:t>
      </w:r>
      <w:proofErr w:type="spellEnd"/>
      <w:r w:rsidRPr="00392C00">
        <w:rPr>
          <w:rFonts w:ascii="Arial" w:hAnsi="Arial" w:cs="Arial"/>
          <w:sz w:val="20"/>
          <w:szCs w:val="20"/>
        </w:rPr>
        <w:t>, program planning, and parts of the DEER database that target light-emitting diodes (LEDs), to ensure that IOU lighting programs can keep up with rapid changes in LED pricing and efficacy.</w:t>
      </w:r>
    </w:p>
    <w:p w14:paraId="06F92E12" w14:textId="77777777" w:rsidR="00F84644" w:rsidRPr="00392C00" w:rsidRDefault="00F84644" w:rsidP="00F84644">
      <w:pPr>
        <w:rPr>
          <w:rFonts w:ascii="Arial" w:hAnsi="Arial" w:cs="Arial"/>
          <w:sz w:val="20"/>
          <w:szCs w:val="20"/>
        </w:rPr>
      </w:pPr>
    </w:p>
    <w:p w14:paraId="2069205D" w14:textId="77777777" w:rsidR="00F84644" w:rsidRPr="00392C00" w:rsidRDefault="00F84644" w:rsidP="00F84644">
      <w:pPr>
        <w:tabs>
          <w:tab w:val="num" w:pos="720"/>
        </w:tabs>
        <w:rPr>
          <w:rFonts w:ascii="Arial" w:hAnsi="Arial" w:cs="Arial"/>
          <w:sz w:val="20"/>
          <w:szCs w:val="20"/>
        </w:rPr>
      </w:pPr>
      <w:r w:rsidRPr="00392C00">
        <w:rPr>
          <w:rFonts w:ascii="Arial" w:hAnsi="Arial" w:cs="Arial"/>
          <w:sz w:val="20"/>
          <w:szCs w:val="20"/>
        </w:rPr>
        <w:t>Three key research topics for high priority LED product categories were 1) LED pricing (for both residential and non-residential products), 2) Non-residential baseline wattages (which inform the selection of appropriate wattage reduction ratios or wattage ranges), and 3) the ability of the currently used savings estimation methods to predict non-residential baselines (e.g., wattage reduction ratio and wattage ranges).</w:t>
      </w:r>
    </w:p>
    <w:p w14:paraId="7C0B4F9F" w14:textId="77777777" w:rsidR="00F84644" w:rsidRPr="00392C00" w:rsidRDefault="00F84644" w:rsidP="00F84644">
      <w:pPr>
        <w:tabs>
          <w:tab w:val="num" w:pos="720"/>
        </w:tabs>
        <w:rPr>
          <w:rFonts w:ascii="Arial" w:hAnsi="Arial" w:cs="Arial"/>
          <w:sz w:val="20"/>
          <w:szCs w:val="20"/>
        </w:rPr>
      </w:pPr>
    </w:p>
    <w:p w14:paraId="58FA7DAC" w14:textId="77777777" w:rsidR="00F84644" w:rsidRPr="00392C00" w:rsidRDefault="00F84644" w:rsidP="00F84644">
      <w:pPr>
        <w:tabs>
          <w:tab w:val="num" w:pos="720"/>
        </w:tabs>
        <w:rPr>
          <w:rFonts w:ascii="Arial" w:hAnsi="Arial" w:cs="Arial"/>
          <w:sz w:val="20"/>
          <w:szCs w:val="20"/>
        </w:rPr>
      </w:pPr>
      <w:r w:rsidRPr="00392C00">
        <w:rPr>
          <w:rFonts w:ascii="Arial" w:hAnsi="Arial" w:cs="Arial"/>
          <w:sz w:val="20"/>
          <w:szCs w:val="20"/>
        </w:rPr>
        <w:t xml:space="preserve">Price data was collected through web-scraping, market-actor surveys of contractors, distributors, and commercial </w:t>
      </w:r>
      <w:proofErr w:type="gramStart"/>
      <w:r w:rsidRPr="00392C00">
        <w:rPr>
          <w:rFonts w:ascii="Arial" w:hAnsi="Arial" w:cs="Arial"/>
          <w:sz w:val="20"/>
          <w:szCs w:val="20"/>
        </w:rPr>
        <w:t>end-users,</w:t>
      </w:r>
      <w:proofErr w:type="gramEnd"/>
      <w:r w:rsidRPr="00392C00">
        <w:rPr>
          <w:rFonts w:ascii="Arial" w:hAnsi="Arial" w:cs="Arial"/>
          <w:sz w:val="20"/>
          <w:szCs w:val="20"/>
        </w:rPr>
        <w:t xml:space="preserve"> and through in-depth interviews with manufacturers and retailers. The study developed price estimates that were current for 2015, and it also looked at factors that affect pricing and how often </w:t>
      </w:r>
      <w:proofErr w:type="spellStart"/>
      <w:r w:rsidRPr="00392C00">
        <w:rPr>
          <w:rFonts w:ascii="Arial" w:hAnsi="Arial" w:cs="Arial"/>
          <w:sz w:val="20"/>
          <w:szCs w:val="20"/>
        </w:rPr>
        <w:t>workpapers</w:t>
      </w:r>
      <w:proofErr w:type="spellEnd"/>
      <w:r w:rsidRPr="00392C00">
        <w:rPr>
          <w:rFonts w:ascii="Arial" w:hAnsi="Arial" w:cs="Arial"/>
          <w:sz w:val="20"/>
          <w:szCs w:val="20"/>
        </w:rPr>
        <w:t xml:space="preserve"> need to be updated to include most current pricing.</w:t>
      </w:r>
    </w:p>
    <w:p w14:paraId="1CB41384" w14:textId="77777777" w:rsidR="00F84644" w:rsidRPr="00392C00" w:rsidRDefault="00F84644" w:rsidP="00F84644">
      <w:pPr>
        <w:tabs>
          <w:tab w:val="num" w:pos="720"/>
        </w:tabs>
        <w:rPr>
          <w:rFonts w:ascii="Arial" w:hAnsi="Arial" w:cs="Arial"/>
          <w:sz w:val="20"/>
          <w:szCs w:val="20"/>
        </w:rPr>
      </w:pPr>
    </w:p>
    <w:p w14:paraId="60EDDDCC" w14:textId="59793C22" w:rsidR="00F84644" w:rsidRPr="00392C00" w:rsidRDefault="00F84644" w:rsidP="00A476DC">
      <w:pPr>
        <w:autoSpaceDE w:val="0"/>
        <w:autoSpaceDN w:val="0"/>
        <w:adjustRightInd w:val="0"/>
        <w:rPr>
          <w:rFonts w:ascii="Arial" w:hAnsi="Arial" w:cs="Arial"/>
          <w:sz w:val="20"/>
          <w:szCs w:val="20"/>
        </w:rPr>
      </w:pPr>
      <w:r w:rsidRPr="00392C00">
        <w:rPr>
          <w:rFonts w:ascii="Arial" w:hAnsi="Arial" w:cs="Arial"/>
          <w:sz w:val="20"/>
          <w:szCs w:val="20"/>
        </w:rPr>
        <w:t>The 2015 study found higher annual percentage price declines for LED products which have since slowed down as shown in the 2018 study. While annual decreases for LED luminaires were found to be 20% per year from 2015-20</w:t>
      </w:r>
      <w:r w:rsidR="00FE674A">
        <w:rPr>
          <w:rFonts w:ascii="Arial" w:hAnsi="Arial" w:cs="Arial"/>
          <w:sz w:val="20"/>
          <w:szCs w:val="20"/>
        </w:rPr>
        <w:t>1</w:t>
      </w:r>
      <w:r w:rsidRPr="00392C00">
        <w:rPr>
          <w:rFonts w:ascii="Arial" w:hAnsi="Arial" w:cs="Arial"/>
          <w:sz w:val="20"/>
          <w:szCs w:val="20"/>
        </w:rPr>
        <w:t>8, they are now expected to be 9% per year from 2017-2020</w:t>
      </w:r>
      <w:r w:rsidR="0064565E">
        <w:rPr>
          <w:rFonts w:ascii="Arial" w:hAnsi="Arial" w:cs="Arial"/>
          <w:sz w:val="20"/>
          <w:szCs w:val="20"/>
        </w:rPr>
        <w:t>,</w:t>
      </w:r>
      <w:r w:rsidRPr="00392C00">
        <w:rPr>
          <w:rFonts w:ascii="Arial" w:hAnsi="Arial" w:cs="Arial"/>
          <w:sz w:val="20"/>
          <w:szCs w:val="20"/>
        </w:rPr>
        <w:t xml:space="preserve"> decreasing to 8% per year from 2020-2022 on average across all product categories</w:t>
      </w:r>
      <w:r w:rsidR="0064565E">
        <w:rPr>
          <w:rFonts w:ascii="Arial" w:hAnsi="Arial" w:cs="Arial"/>
          <w:sz w:val="20"/>
          <w:szCs w:val="20"/>
        </w:rPr>
        <w:t>.</w:t>
      </w:r>
      <w:r w:rsidRPr="00392C00">
        <w:rPr>
          <w:rFonts w:ascii="Arial" w:hAnsi="Arial" w:cs="Arial"/>
          <w:sz w:val="20"/>
          <w:szCs w:val="20"/>
        </w:rPr>
        <w:t xml:space="preserve"> However, accuracy of these price projections may be limited due to the small dataset. </w:t>
      </w:r>
      <w:r w:rsidR="00A476DC">
        <w:rPr>
          <w:rFonts w:ascii="Arial" w:hAnsi="Arial" w:cs="Arial"/>
          <w:sz w:val="20"/>
          <w:szCs w:val="20"/>
        </w:rPr>
        <w:t xml:space="preserve"> </w:t>
      </w:r>
      <w:r w:rsidRPr="00392C00">
        <w:rPr>
          <w:rFonts w:ascii="Arial" w:hAnsi="Arial" w:cs="Arial"/>
          <w:sz w:val="20"/>
          <w:szCs w:val="20"/>
        </w:rPr>
        <w:t xml:space="preserve">The study suggested price assumptions be updated annually using web-scraping until prices stabilize. This will help ensure projections of LED price remain useful to the IOUs. The study also found that regional price differences in California are negligible and so all IOUs can use the same cost data in </w:t>
      </w:r>
      <w:proofErr w:type="spellStart"/>
      <w:r w:rsidRPr="00392C00">
        <w:rPr>
          <w:rFonts w:ascii="Arial" w:hAnsi="Arial" w:cs="Arial"/>
          <w:sz w:val="20"/>
          <w:szCs w:val="20"/>
        </w:rPr>
        <w:t>workpapers</w:t>
      </w:r>
      <w:proofErr w:type="spellEnd"/>
      <w:r w:rsidRPr="00392C00">
        <w:rPr>
          <w:rFonts w:ascii="Arial" w:hAnsi="Arial" w:cs="Arial"/>
          <w:sz w:val="20"/>
          <w:szCs w:val="20"/>
        </w:rPr>
        <w:t>.</w:t>
      </w:r>
    </w:p>
    <w:p w14:paraId="2062BAA5" w14:textId="77777777" w:rsidR="00F84644" w:rsidRPr="00392C00" w:rsidRDefault="00F84644" w:rsidP="00F84644">
      <w:pPr>
        <w:tabs>
          <w:tab w:val="num" w:pos="720"/>
        </w:tabs>
        <w:rPr>
          <w:rFonts w:ascii="Arial" w:hAnsi="Arial" w:cs="Arial"/>
          <w:sz w:val="20"/>
          <w:szCs w:val="20"/>
        </w:rPr>
      </w:pPr>
    </w:p>
    <w:p w14:paraId="069F1620" w14:textId="77777777" w:rsidR="00F84644" w:rsidRDefault="00F84644" w:rsidP="00F84644">
      <w:pPr>
        <w:tabs>
          <w:tab w:val="num" w:pos="720"/>
        </w:tabs>
        <w:rPr>
          <w:rFonts w:ascii="Arial" w:hAnsi="Arial" w:cs="Arial"/>
          <w:sz w:val="20"/>
          <w:szCs w:val="20"/>
        </w:rPr>
      </w:pPr>
      <w:r w:rsidRPr="00392C00">
        <w:rPr>
          <w:rFonts w:ascii="Arial" w:hAnsi="Arial" w:cs="Arial"/>
          <w:sz w:val="20"/>
          <w:szCs w:val="20"/>
        </w:rPr>
        <w:t xml:space="preserve">In terms of factors that influence the price of luminaires, no one factor was found to significantly affect pricing, but there were many: efficacy, lumens, watts, CRI, lifetime. This analysis was repeated in the 2018 pricing study and correlation factors were assigned and lumen output/wattage was determined to be the greatest influence on price. IOU LED deemed lighting measures have assumed that measure costs have scaled with efficacy, therefore this finding that efficacy may not be a key price driver implies that further analysis should be conducted to consider how to incorporate other price drivers in measure design to encourage the adoption of higher degrees of efficiency.  </w:t>
      </w:r>
    </w:p>
    <w:p w14:paraId="2020765C" w14:textId="77777777" w:rsidR="00F84644" w:rsidRDefault="00F84644" w:rsidP="00F84644">
      <w:pPr>
        <w:tabs>
          <w:tab w:val="num" w:pos="720"/>
        </w:tabs>
        <w:rPr>
          <w:rFonts w:ascii="Arial" w:hAnsi="Arial" w:cs="Arial"/>
          <w:sz w:val="20"/>
          <w:szCs w:val="20"/>
        </w:rPr>
      </w:pPr>
    </w:p>
    <w:p w14:paraId="18696BC2" w14:textId="77777777" w:rsidR="00F84644" w:rsidRPr="00392C00" w:rsidRDefault="00F84644" w:rsidP="00F84644">
      <w:pPr>
        <w:tabs>
          <w:tab w:val="num" w:pos="720"/>
        </w:tabs>
        <w:rPr>
          <w:rFonts w:ascii="Arial" w:hAnsi="Arial" w:cs="Arial"/>
          <w:sz w:val="20"/>
          <w:szCs w:val="20"/>
        </w:rPr>
      </w:pPr>
      <w:r w:rsidRPr="00BF592C">
        <w:rPr>
          <w:rFonts w:ascii="Arial" w:hAnsi="Arial" w:cs="Arial"/>
          <w:sz w:val="20"/>
        </w:rPr>
        <w:t xml:space="preserve">The projected LED price decline is expected to have a significant impact on LED adoption in California. The forecasted installed stock penetration of LEDs into the </w:t>
      </w:r>
      <w:proofErr w:type="spellStart"/>
      <w:r w:rsidRPr="00BF592C">
        <w:rPr>
          <w:rFonts w:ascii="Arial" w:hAnsi="Arial" w:cs="Arial"/>
          <w:sz w:val="20"/>
        </w:rPr>
        <w:t>hig</w:t>
      </w:r>
      <w:r>
        <w:rPr>
          <w:rFonts w:ascii="Arial" w:hAnsi="Arial" w:cs="Arial"/>
          <w:sz w:val="20"/>
        </w:rPr>
        <w:t>h</w:t>
      </w:r>
      <w:r w:rsidRPr="00BF592C">
        <w:rPr>
          <w:rFonts w:ascii="Arial" w:hAnsi="Arial" w:cs="Arial"/>
          <w:sz w:val="20"/>
        </w:rPr>
        <w:t>bay</w:t>
      </w:r>
      <w:proofErr w:type="spellEnd"/>
      <w:r w:rsidRPr="00BF592C">
        <w:rPr>
          <w:rFonts w:ascii="Arial" w:hAnsi="Arial" w:cs="Arial"/>
          <w:sz w:val="20"/>
        </w:rPr>
        <w:t>/</w:t>
      </w:r>
      <w:proofErr w:type="spellStart"/>
      <w:r w:rsidRPr="00BF592C">
        <w:rPr>
          <w:rFonts w:ascii="Arial" w:hAnsi="Arial" w:cs="Arial"/>
          <w:sz w:val="20"/>
        </w:rPr>
        <w:t>lowbay</w:t>
      </w:r>
      <w:proofErr w:type="spellEnd"/>
      <w:r w:rsidRPr="00BF592C">
        <w:rPr>
          <w:rFonts w:ascii="Arial" w:hAnsi="Arial" w:cs="Arial"/>
          <w:sz w:val="20"/>
        </w:rPr>
        <w:t xml:space="preserve"> applications is expected to increase from 3.4% in 2015 to 17% in 2018, and then increase to 34% in 2020. </w:t>
      </w:r>
      <w:r w:rsidRPr="00392C00">
        <w:rPr>
          <w:rFonts w:ascii="Arial" w:hAnsi="Arial" w:cs="Arial"/>
          <w:sz w:val="20"/>
          <w:szCs w:val="20"/>
        </w:rPr>
        <w:t>IOU Programs can help accelerate this adoption curve and encourage the adoption of higher and highest efficiency products.</w:t>
      </w:r>
    </w:p>
    <w:p w14:paraId="1F57BE21" w14:textId="77777777" w:rsidR="00F84644" w:rsidRPr="00392C00" w:rsidRDefault="00F84644" w:rsidP="00F84644">
      <w:pPr>
        <w:tabs>
          <w:tab w:val="num" w:pos="720"/>
        </w:tabs>
        <w:rPr>
          <w:rFonts w:ascii="Arial" w:hAnsi="Arial" w:cs="Arial"/>
          <w:sz w:val="20"/>
          <w:szCs w:val="20"/>
        </w:rPr>
      </w:pPr>
    </w:p>
    <w:p w14:paraId="33D41D7F" w14:textId="77777777" w:rsidR="001A6426" w:rsidRPr="0035476D" w:rsidRDefault="00F84644">
      <w:pPr>
        <w:tabs>
          <w:tab w:val="num" w:pos="720"/>
        </w:tabs>
        <w:rPr>
          <w:rFonts w:ascii="Arial" w:hAnsi="Arial" w:cs="Arial"/>
          <w:sz w:val="20"/>
          <w:szCs w:val="20"/>
        </w:rPr>
      </w:pPr>
      <w:r w:rsidRPr="00392C00">
        <w:rPr>
          <w:rFonts w:ascii="Arial" w:hAnsi="Arial" w:cs="Arial"/>
          <w:sz w:val="20"/>
          <w:szCs w:val="20"/>
        </w:rPr>
        <w:t xml:space="preserve">Market actors said that lumen equivalence was the single most important factor when selecting an LED. End users also considered light color and wattage equivalence when selecting an LED fixture. It will be important to research and understand how customers perceive lumen equivalence in LED fixtures and if there is bin jumping similar to what reportedly occurs with LED lamps – when market actors choose an LED that does not align with its rated wattage or lumen equivalent. </w:t>
      </w:r>
      <w:r w:rsidR="001A6426" w:rsidRPr="0035476D">
        <w:rPr>
          <w:rFonts w:ascii="Arial" w:hAnsi="Arial" w:cs="Arial"/>
          <w:sz w:val="20"/>
          <w:szCs w:val="20"/>
        </w:rPr>
        <w:t>We hope the new measure structure change to lumen bins in this workpaper revision will help emphasize light output as the most important metric in product selection.</w:t>
      </w:r>
    </w:p>
    <w:p w14:paraId="0425CADD" w14:textId="64DD7704" w:rsidR="00F84644" w:rsidRDefault="00F84644" w:rsidP="00F84644">
      <w:pPr>
        <w:tabs>
          <w:tab w:val="num" w:pos="720"/>
        </w:tabs>
        <w:rPr>
          <w:rFonts w:ascii="Arial" w:hAnsi="Arial" w:cs="Arial"/>
          <w:sz w:val="20"/>
          <w:szCs w:val="20"/>
        </w:rPr>
      </w:pPr>
    </w:p>
    <w:p w14:paraId="2507587F" w14:textId="481BF0F5" w:rsidR="00F84644" w:rsidRPr="00392C00" w:rsidRDefault="00F84644" w:rsidP="00F84644">
      <w:pPr>
        <w:tabs>
          <w:tab w:val="num" w:pos="720"/>
        </w:tabs>
        <w:rPr>
          <w:rFonts w:ascii="Arial" w:hAnsi="Arial" w:cs="Arial"/>
          <w:sz w:val="20"/>
          <w:szCs w:val="20"/>
        </w:rPr>
      </w:pPr>
      <w:r w:rsidRPr="00392C00">
        <w:rPr>
          <w:rFonts w:ascii="Arial" w:hAnsi="Arial" w:cs="Arial"/>
          <w:sz w:val="20"/>
          <w:szCs w:val="20"/>
        </w:rPr>
        <w:t xml:space="preserve">When Navigant considered the incidence of early retirement, the results showed that the majority of contractors and end users indicated that they are more likely to replace equipment before the end of useful life with LEDs. This suggests that LED decision making is unique and warrants additional research on ER and </w:t>
      </w:r>
      <w:r w:rsidR="005004E6">
        <w:rPr>
          <w:rFonts w:ascii="Arial" w:hAnsi="Arial" w:cs="Arial"/>
          <w:sz w:val="20"/>
          <w:szCs w:val="20"/>
        </w:rPr>
        <w:t>NR</w:t>
      </w:r>
      <w:r w:rsidRPr="00392C00">
        <w:rPr>
          <w:rFonts w:ascii="Arial" w:hAnsi="Arial" w:cs="Arial"/>
          <w:sz w:val="20"/>
          <w:szCs w:val="20"/>
        </w:rPr>
        <w:t xml:space="preserve"> baselines. The IOUs are considering incorporating early retirement measures into future workpaper updates to capture the additional energy savings potential in the market.</w:t>
      </w:r>
    </w:p>
    <w:p w14:paraId="56B2AB75" w14:textId="12B6BD4A" w:rsidR="00F84644" w:rsidRPr="00392C00" w:rsidRDefault="00694C35" w:rsidP="00F84644">
      <w:pPr>
        <w:keepNext/>
        <w:rPr>
          <w:rFonts w:ascii="Arial" w:hAnsi="Arial" w:cs="Arial"/>
          <w:sz w:val="20"/>
          <w:szCs w:val="20"/>
        </w:rPr>
      </w:pPr>
      <w:r>
        <w:rPr>
          <w:rFonts w:ascii="Arial" w:hAnsi="Arial" w:cs="Arial"/>
          <w:noProof/>
          <w:sz w:val="20"/>
          <w:szCs w:val="20"/>
        </w:rPr>
        <w:lastRenderedPageBreak/>
        <w:drawing>
          <wp:inline distT="0" distB="0" distL="0" distR="0" wp14:anchorId="4B3E0AFB" wp14:editId="676E6F75">
            <wp:extent cx="4284980" cy="2371090"/>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284980" cy="2371090"/>
                    </a:xfrm>
                    <a:prstGeom prst="rect">
                      <a:avLst/>
                    </a:prstGeom>
                    <a:noFill/>
                    <a:ln>
                      <a:noFill/>
                    </a:ln>
                  </pic:spPr>
                </pic:pic>
              </a:graphicData>
            </a:graphic>
          </wp:inline>
        </w:drawing>
      </w:r>
    </w:p>
    <w:p w14:paraId="1F6897F9" w14:textId="77777777" w:rsidR="00F84644" w:rsidRDefault="00F84644" w:rsidP="00F84644">
      <w:pPr>
        <w:rPr>
          <w:rFonts w:ascii="Arial" w:hAnsi="Arial" w:cs="Arial"/>
          <w:b/>
          <w:sz w:val="20"/>
          <w:szCs w:val="20"/>
        </w:rPr>
      </w:pPr>
      <w:r w:rsidRPr="00392C00">
        <w:rPr>
          <w:rFonts w:ascii="Arial" w:hAnsi="Arial" w:cs="Arial"/>
          <w:b/>
          <w:sz w:val="20"/>
          <w:szCs w:val="20"/>
        </w:rPr>
        <w:t xml:space="preserve">Figure 2: Willingness to replace equipment with LEDs before end of useful life, relative to other replacements (Source: California LED Workpaper Update Study, Navigant, </w:t>
      </w:r>
      <w:proofErr w:type="gramStart"/>
      <w:r w:rsidRPr="00392C00">
        <w:rPr>
          <w:rFonts w:ascii="Arial" w:hAnsi="Arial" w:cs="Arial"/>
          <w:b/>
          <w:sz w:val="20"/>
          <w:szCs w:val="20"/>
        </w:rPr>
        <w:t>August</w:t>
      </w:r>
      <w:proofErr w:type="gramEnd"/>
      <w:r w:rsidRPr="00392C00">
        <w:rPr>
          <w:rFonts w:ascii="Arial" w:hAnsi="Arial" w:cs="Arial"/>
          <w:b/>
          <w:sz w:val="20"/>
          <w:szCs w:val="20"/>
        </w:rPr>
        <w:t xml:space="preserve"> 2015)</w:t>
      </w:r>
    </w:p>
    <w:p w14:paraId="0A9AF796" w14:textId="77777777" w:rsidR="00F84644" w:rsidRDefault="00F84644" w:rsidP="00F84644">
      <w:pPr>
        <w:rPr>
          <w:rFonts w:ascii="Arial" w:hAnsi="Arial" w:cs="Arial"/>
          <w:b/>
          <w:sz w:val="20"/>
          <w:szCs w:val="20"/>
        </w:rPr>
      </w:pPr>
    </w:p>
    <w:p w14:paraId="7618FDF2" w14:textId="0C8086E4" w:rsidR="00F84644" w:rsidRPr="00E40631" w:rsidRDefault="00F84644">
      <w:pPr>
        <w:tabs>
          <w:tab w:val="num" w:pos="720"/>
        </w:tabs>
      </w:pPr>
      <w:r w:rsidRPr="007B68E7">
        <w:rPr>
          <w:rFonts w:ascii="Arial" w:hAnsi="Arial" w:cs="Arial"/>
          <w:sz w:val="20"/>
          <w:szCs w:val="20"/>
        </w:rPr>
        <w:t>Early retirement baseline according to contractors indicates closer to 50% for HID technology and 50% for T8 and T5 combined.</w:t>
      </w:r>
    </w:p>
    <w:p w14:paraId="37D31F8E" w14:textId="77777777" w:rsidR="00F84644" w:rsidRDefault="00F84644" w:rsidP="00F84644">
      <w:pPr>
        <w:tabs>
          <w:tab w:val="num" w:pos="720"/>
        </w:tabs>
        <w:rPr>
          <w:rFonts w:ascii="Arial" w:hAnsi="Arial" w:cs="Arial"/>
          <w:sz w:val="20"/>
          <w:highlight w:val="yellow"/>
        </w:rPr>
      </w:pPr>
    </w:p>
    <w:p w14:paraId="396E60FB" w14:textId="5AB709C7" w:rsidR="00F84644" w:rsidRDefault="00694C35" w:rsidP="00F84644">
      <w:pPr>
        <w:rPr>
          <w:highlight w:val="yellow"/>
        </w:rPr>
      </w:pPr>
      <w:r>
        <w:rPr>
          <w:noProof/>
        </w:rPr>
        <w:drawing>
          <wp:inline distT="0" distB="0" distL="0" distR="0" wp14:anchorId="096FADD3" wp14:editId="618587C9">
            <wp:extent cx="3710940" cy="2796540"/>
            <wp:effectExtent l="0" t="0" r="0" b="0"/>
            <wp:docPr id="3" name="Picture 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710940" cy="2796540"/>
                    </a:xfrm>
                    <a:prstGeom prst="rect">
                      <a:avLst/>
                    </a:prstGeom>
                    <a:noFill/>
                    <a:ln>
                      <a:noFill/>
                    </a:ln>
                  </pic:spPr>
                </pic:pic>
              </a:graphicData>
            </a:graphic>
          </wp:inline>
        </w:drawing>
      </w:r>
    </w:p>
    <w:p w14:paraId="5A8B4138" w14:textId="77777777" w:rsidR="00F84644" w:rsidRPr="00392C00" w:rsidRDefault="00F84644" w:rsidP="00F84644">
      <w:pPr>
        <w:rPr>
          <w:rFonts w:ascii="Arial" w:hAnsi="Arial" w:cs="Arial"/>
          <w:b/>
          <w:sz w:val="20"/>
          <w:szCs w:val="20"/>
        </w:rPr>
      </w:pPr>
    </w:p>
    <w:p w14:paraId="212B019C" w14:textId="46C5F1A1" w:rsidR="002B3B1A" w:rsidRPr="00A476DC" w:rsidRDefault="002B3B1A" w:rsidP="00A476DC">
      <w:pPr>
        <w:pStyle w:val="Caption"/>
        <w:rPr>
          <w:rFonts w:ascii="Arial" w:hAnsi="Arial" w:cs="Arial"/>
        </w:rPr>
      </w:pPr>
      <w:r w:rsidRPr="00A476DC">
        <w:rPr>
          <w:rFonts w:ascii="Arial" w:hAnsi="Arial" w:cs="Arial"/>
        </w:rPr>
        <w:t>Figure 3: Early Retirement Baseline Technology Mix for LEDs as reported by Contractors</w:t>
      </w:r>
    </w:p>
    <w:p w14:paraId="2B51D87D" w14:textId="448DBEC1" w:rsidR="00F84644" w:rsidRPr="00392C00" w:rsidRDefault="00F84644" w:rsidP="00F84644">
      <w:pPr>
        <w:rPr>
          <w:rFonts w:ascii="Arial" w:hAnsi="Arial" w:cs="Arial"/>
          <w:sz w:val="20"/>
          <w:szCs w:val="20"/>
        </w:rPr>
      </w:pPr>
    </w:p>
    <w:p w14:paraId="2E6161BE" w14:textId="1D496541" w:rsidR="0064565E" w:rsidRDefault="00F84644" w:rsidP="00F84644">
      <w:pPr>
        <w:rPr>
          <w:rFonts w:ascii="Arial" w:hAnsi="Arial" w:cs="Arial"/>
          <w:sz w:val="20"/>
          <w:szCs w:val="20"/>
        </w:rPr>
      </w:pPr>
      <w:r w:rsidRPr="00392C00">
        <w:rPr>
          <w:rFonts w:ascii="Arial" w:hAnsi="Arial" w:cs="Arial"/>
          <w:sz w:val="20"/>
          <w:szCs w:val="20"/>
        </w:rPr>
        <w:t>Survey data and specifications on existing fixtures also indicate that LEDs replacing metal halides and linear fluorescents are not near the upper end of the LED wattage ranges in the May</w:t>
      </w:r>
      <w:r w:rsidR="0064565E">
        <w:t xml:space="preserve"> 30,</w:t>
      </w:r>
      <w:r w:rsidRPr="00392C00">
        <w:rPr>
          <w:rFonts w:ascii="Arial" w:hAnsi="Arial" w:cs="Arial"/>
          <w:sz w:val="20"/>
          <w:szCs w:val="20"/>
        </w:rPr>
        <w:t xml:space="preserve"> 2014 </w:t>
      </w:r>
      <w:r w:rsidR="0064565E">
        <w:t xml:space="preserve">lighting </w:t>
      </w:r>
      <w:r w:rsidRPr="00392C00">
        <w:rPr>
          <w:rFonts w:ascii="Arial" w:hAnsi="Arial" w:cs="Arial"/>
          <w:sz w:val="20"/>
          <w:szCs w:val="20"/>
        </w:rPr>
        <w:t xml:space="preserve">disposition. The Navigant study results and IOU program data analysis point out that the majority of program activity happens in the lower wattage ranges for PG&amp;E and it would be advisable for IOUs to break these measure codes into narrower wattage ranges to more accurately capture savings. </w:t>
      </w:r>
    </w:p>
    <w:p w14:paraId="4C6F12C2" w14:textId="448DBEC1" w:rsidR="0064565E" w:rsidRDefault="0064565E" w:rsidP="00F84644">
      <w:pPr>
        <w:rPr>
          <w:rFonts w:ascii="Arial" w:hAnsi="Arial" w:cs="Arial"/>
          <w:sz w:val="20"/>
          <w:szCs w:val="20"/>
        </w:rPr>
      </w:pPr>
    </w:p>
    <w:p w14:paraId="3D5D953F" w14:textId="45AD6C24" w:rsidR="00F84644" w:rsidRPr="00392C00" w:rsidRDefault="0064565E" w:rsidP="00F84644">
      <w:pPr>
        <w:rPr>
          <w:rFonts w:ascii="Arial" w:hAnsi="Arial" w:cs="Arial"/>
          <w:sz w:val="20"/>
          <w:szCs w:val="20"/>
        </w:rPr>
      </w:pPr>
      <w:r w:rsidRPr="007B68E7">
        <w:rPr>
          <w:rFonts w:ascii="Arial" w:hAnsi="Arial" w:cs="Arial"/>
          <w:sz w:val="20"/>
          <w:szCs w:val="20"/>
        </w:rPr>
        <w:t xml:space="preserve">This revision of the workpaper breaks the measure codes into narrower </w:t>
      </w:r>
      <w:r w:rsidR="0059303E" w:rsidRPr="007B68E7">
        <w:rPr>
          <w:rFonts w:ascii="Arial" w:hAnsi="Arial" w:cs="Arial"/>
          <w:sz w:val="20"/>
          <w:szCs w:val="20"/>
        </w:rPr>
        <w:t xml:space="preserve">bin sizes </w:t>
      </w:r>
      <w:r w:rsidRPr="007B68E7">
        <w:rPr>
          <w:rFonts w:ascii="Arial" w:hAnsi="Arial" w:cs="Arial"/>
          <w:sz w:val="20"/>
          <w:szCs w:val="20"/>
        </w:rPr>
        <w:t xml:space="preserve">to more accurately capture savings and going forward will also evaluate program data to better understand what </w:t>
      </w:r>
      <w:r w:rsidR="0059303E" w:rsidRPr="007B68E7">
        <w:rPr>
          <w:rFonts w:ascii="Arial" w:hAnsi="Arial" w:cs="Arial"/>
          <w:sz w:val="20"/>
          <w:szCs w:val="20"/>
        </w:rPr>
        <w:t>lumen/</w:t>
      </w:r>
      <w:r w:rsidRPr="007B68E7">
        <w:rPr>
          <w:rFonts w:ascii="Arial" w:hAnsi="Arial" w:cs="Arial"/>
          <w:sz w:val="20"/>
          <w:szCs w:val="20"/>
        </w:rPr>
        <w:t xml:space="preserve">wattage products customers are buying. This program information can then be used to more </w:t>
      </w:r>
      <w:r w:rsidRPr="007B68E7">
        <w:rPr>
          <w:rFonts w:ascii="Arial" w:hAnsi="Arial" w:cs="Arial"/>
          <w:sz w:val="20"/>
          <w:szCs w:val="20"/>
        </w:rPr>
        <w:lastRenderedPageBreak/>
        <w:t xml:space="preserve">accurately calculate energy savings. </w:t>
      </w:r>
      <w:r w:rsidR="00F84644" w:rsidRPr="002676A5">
        <w:rPr>
          <w:rFonts w:ascii="Arial" w:hAnsi="Arial" w:cs="Arial"/>
          <w:sz w:val="20"/>
          <w:szCs w:val="20"/>
        </w:rPr>
        <w:t xml:space="preserve">Section </w:t>
      </w:r>
      <w:r w:rsidR="00F84644" w:rsidRPr="1AA8F051">
        <w:fldChar w:fldCharType="begin"/>
      </w:r>
      <w:r w:rsidR="00F84644" w:rsidRPr="00F84644">
        <w:rPr>
          <w:rFonts w:ascii="Arial" w:hAnsi="Arial" w:cs="Arial"/>
          <w:b/>
          <w:sz w:val="20"/>
          <w:szCs w:val="20"/>
        </w:rPr>
        <w:instrText xml:space="preserve"> REF _Ref511172416 \h  \* MERGEFORMAT </w:instrText>
      </w:r>
      <w:r w:rsidR="00F84644" w:rsidRPr="1AA8F051">
        <w:rPr>
          <w:rFonts w:ascii="Arial" w:hAnsi="Arial" w:cs="Arial"/>
          <w:b/>
          <w:sz w:val="20"/>
          <w:szCs w:val="20"/>
        </w:rPr>
        <w:fldChar w:fldCharType="separate"/>
      </w:r>
      <w:r w:rsidR="007803A1" w:rsidRPr="0035476D">
        <w:rPr>
          <w:rFonts w:ascii="Arial" w:hAnsi="Arial" w:cs="Arial"/>
          <w:b/>
          <w:bCs/>
          <w:sz w:val="20"/>
          <w:szCs w:val="20"/>
        </w:rPr>
        <w:t>1.6.3 Product ID Collection Process</w:t>
      </w:r>
      <w:r w:rsidR="00F84644" w:rsidRPr="1AA8F051">
        <w:fldChar w:fldCharType="end"/>
      </w:r>
      <w:r w:rsidR="00F84644" w:rsidRPr="002676A5">
        <w:rPr>
          <w:rFonts w:ascii="Arial" w:hAnsi="Arial" w:cs="Arial"/>
          <w:sz w:val="20"/>
          <w:szCs w:val="20"/>
        </w:rPr>
        <w:t xml:space="preserve"> </w:t>
      </w:r>
      <w:r w:rsidR="00F84644">
        <w:rPr>
          <w:rFonts w:ascii="Arial" w:hAnsi="Arial" w:cs="Arial"/>
          <w:sz w:val="20"/>
          <w:szCs w:val="20"/>
        </w:rPr>
        <w:t xml:space="preserve">describes a data collection process to inform </w:t>
      </w:r>
      <w:r w:rsidR="00F84644" w:rsidRPr="002676A5">
        <w:rPr>
          <w:rFonts w:ascii="Arial" w:hAnsi="Arial" w:cs="Arial"/>
          <w:sz w:val="20"/>
          <w:szCs w:val="20"/>
        </w:rPr>
        <w:t>savings calculations in the future.</w:t>
      </w:r>
    </w:p>
    <w:p w14:paraId="3DF164C7" w14:textId="77777777" w:rsidR="00F84644" w:rsidRDefault="00F84644" w:rsidP="00F84644">
      <w:pPr>
        <w:pStyle w:val="Heading3"/>
        <w:rPr>
          <w:highlight w:val="yellow"/>
        </w:rPr>
      </w:pPr>
      <w:bookmarkStart w:id="79" w:name="_Toc511045278"/>
      <w:bookmarkStart w:id="80" w:name="_Toc511210588"/>
      <w:bookmarkStart w:id="81" w:name="_Ref533708223"/>
      <w:bookmarkStart w:id="82" w:name="_Toc2804908"/>
      <w:r w:rsidRPr="00BF592C">
        <w:t>1.5.</w:t>
      </w:r>
      <w:r>
        <w:t>4</w:t>
      </w:r>
      <w:r w:rsidRPr="00BF592C">
        <w:t xml:space="preserve"> LED Non-Residential Lighting Market Characterization, Navigant – In Progress</w:t>
      </w:r>
      <w:bookmarkEnd w:id="79"/>
      <w:bookmarkEnd w:id="80"/>
      <w:bookmarkEnd w:id="81"/>
      <w:bookmarkEnd w:id="82"/>
    </w:p>
    <w:p w14:paraId="70B3EA7A" w14:textId="2A602851" w:rsidR="00F84644" w:rsidRPr="000D1C38" w:rsidRDefault="00F84644" w:rsidP="00F84644">
      <w:pPr>
        <w:rPr>
          <w:rFonts w:ascii="Arial" w:hAnsi="Arial"/>
          <w:sz w:val="20"/>
        </w:rPr>
      </w:pPr>
      <w:r w:rsidRPr="00680BA9">
        <w:rPr>
          <w:rFonts w:ascii="Arial" w:hAnsi="Arial"/>
          <w:sz w:val="20"/>
        </w:rPr>
        <w:t>This Statewide Non-Residential LED Market C</w:t>
      </w:r>
      <w:r w:rsidRPr="000D1C38">
        <w:rPr>
          <w:rFonts w:ascii="Arial" w:hAnsi="Arial"/>
          <w:sz w:val="20"/>
        </w:rPr>
        <w:t xml:space="preserve">haracterization Study being conducted by Navigant Consulting, </w:t>
      </w:r>
      <w:proofErr w:type="spellStart"/>
      <w:r w:rsidRPr="000D1C38">
        <w:rPr>
          <w:rFonts w:ascii="Arial" w:hAnsi="Arial"/>
          <w:sz w:val="20"/>
        </w:rPr>
        <w:t>Inc</w:t>
      </w:r>
      <w:proofErr w:type="spellEnd"/>
      <w:r w:rsidRPr="000D1C38">
        <w:rPr>
          <w:rFonts w:ascii="Arial" w:hAnsi="Arial"/>
          <w:sz w:val="20"/>
        </w:rPr>
        <w:t xml:space="preserve"> </w:t>
      </w:r>
      <w:r w:rsidR="0064565E">
        <w:rPr>
          <w:rFonts w:ascii="Arial" w:hAnsi="Arial"/>
          <w:sz w:val="20"/>
        </w:rPr>
        <w:t>was initially scoped</w:t>
      </w:r>
      <w:r w:rsidRPr="000D1C38">
        <w:rPr>
          <w:rFonts w:ascii="Arial" w:hAnsi="Arial"/>
          <w:sz w:val="20"/>
        </w:rPr>
        <w:t xml:space="preserve"> in response to a June 26, 2015 </w:t>
      </w:r>
      <w:r w:rsidR="0064565E" w:rsidRPr="0064565E">
        <w:rPr>
          <w:rFonts w:ascii="Arial" w:hAnsi="Arial"/>
          <w:sz w:val="20"/>
        </w:rPr>
        <w:t>workpaper disposition for PGECOLTG179 LED Ambient Commercial Fixtures and Retrofit Kits</w:t>
      </w:r>
      <w:r w:rsidRPr="000D1C38">
        <w:rPr>
          <w:rFonts w:ascii="Arial" w:hAnsi="Arial"/>
          <w:sz w:val="20"/>
        </w:rPr>
        <w:t>, seeking additional clarification on qualifying LED technologies for the IOUs. Its expected completion date is Q</w:t>
      </w:r>
      <w:r w:rsidR="00FC1C58">
        <w:rPr>
          <w:rFonts w:ascii="Arial" w:hAnsi="Arial"/>
          <w:sz w:val="20"/>
        </w:rPr>
        <w:t>1</w:t>
      </w:r>
      <w:r w:rsidRPr="000D1C38">
        <w:rPr>
          <w:rFonts w:ascii="Arial" w:hAnsi="Arial"/>
          <w:sz w:val="20"/>
        </w:rPr>
        <w:t xml:space="preserve"> 201</w:t>
      </w:r>
      <w:r w:rsidR="00FC1C58">
        <w:rPr>
          <w:rFonts w:ascii="Arial" w:hAnsi="Arial"/>
          <w:sz w:val="20"/>
        </w:rPr>
        <w:t>9</w:t>
      </w:r>
      <w:r w:rsidRPr="000D1C38">
        <w:rPr>
          <w:rFonts w:ascii="Arial" w:hAnsi="Arial"/>
          <w:sz w:val="20"/>
        </w:rPr>
        <w:t>. In that decision, Commission Staff think it is unclear that the DLC QPL meets the requirements of incentivizing the top half of quality products in the non-residential lighting market. In that disposition, Commission Staff wrote the following:</w:t>
      </w:r>
    </w:p>
    <w:p w14:paraId="41372F66" w14:textId="77777777" w:rsidR="00F84644" w:rsidRPr="00680BA9" w:rsidRDefault="00F84644" w:rsidP="00F84644">
      <w:pPr>
        <w:rPr>
          <w:rFonts w:ascii="Arial" w:hAnsi="Arial" w:cs="Arial"/>
          <w:sz w:val="20"/>
          <w:szCs w:val="20"/>
        </w:rPr>
      </w:pPr>
    </w:p>
    <w:p w14:paraId="7D22373D" w14:textId="77777777" w:rsidR="00F84644" w:rsidRPr="00BF592C" w:rsidRDefault="00F84644" w:rsidP="00F84644">
      <w:pPr>
        <w:ind w:left="990" w:right="1170"/>
        <w:jc w:val="both"/>
        <w:rPr>
          <w:rFonts w:ascii="Arial" w:hAnsi="Arial" w:cs="Arial"/>
          <w:highlight w:val="yellow"/>
        </w:rPr>
      </w:pPr>
      <w:r w:rsidRPr="00BF592C">
        <w:rPr>
          <w:rFonts w:ascii="Arial" w:hAnsi="Arial" w:cs="Arial"/>
          <w:i/>
          <w:sz w:val="20"/>
        </w:rPr>
        <w:t>“However, the products covered by this work paper are not covered by the CEC standard and therefore must still be “products that are in the top half of quality on the market.” As added guidance along with the more general guidance provided by the Commission in the text of the Decision (at 79) that “Our goal, as in D.12-05-015, is to avoid offering incentives for lighting products that do not meet consumer expectations and result in a poor lighting experience, discouraging customers from investing in energy efficient lighting in the future.” It is unclear that the DLC listed products meet this requirement. The work paper shall be revised to include the process utilized by the PAs that will ensure that products offered meet the direction from D.12-11-015.”</w:t>
      </w:r>
    </w:p>
    <w:p w14:paraId="24AE218A" w14:textId="77777777" w:rsidR="00F84644" w:rsidRPr="00BF592C" w:rsidRDefault="00F84644" w:rsidP="00F84644">
      <w:pPr>
        <w:rPr>
          <w:rFonts w:ascii="Arial" w:hAnsi="Arial" w:cs="Arial"/>
          <w:sz w:val="20"/>
        </w:rPr>
      </w:pPr>
    </w:p>
    <w:p w14:paraId="474960B5" w14:textId="12DA1416" w:rsidR="00F84644" w:rsidRDefault="00F84644" w:rsidP="00F84644">
      <w:pPr>
        <w:rPr>
          <w:rFonts w:ascii="Arial" w:hAnsi="Arial" w:cs="Arial"/>
          <w:sz w:val="20"/>
        </w:rPr>
      </w:pPr>
      <w:r w:rsidRPr="00BF592C">
        <w:rPr>
          <w:rFonts w:ascii="Arial" w:hAnsi="Arial" w:cs="Arial"/>
          <w:sz w:val="20"/>
        </w:rPr>
        <w:t>This market share study</w:t>
      </w:r>
      <w:r>
        <w:rPr>
          <w:rFonts w:ascii="Arial" w:hAnsi="Arial" w:cs="Arial"/>
          <w:sz w:val="20"/>
        </w:rPr>
        <w:t xml:space="preserve"> is</w:t>
      </w:r>
      <w:r w:rsidRPr="00BF592C">
        <w:rPr>
          <w:rFonts w:ascii="Arial" w:hAnsi="Arial" w:cs="Arial"/>
          <w:sz w:val="20"/>
        </w:rPr>
        <w:t xml:space="preserve"> an effort to determine the size of the non-residential LED market and the relative market share of products on the DLC </w:t>
      </w:r>
      <w:r w:rsidR="00DE15A9">
        <w:rPr>
          <w:rFonts w:ascii="Arial" w:hAnsi="Arial" w:cs="Arial"/>
          <w:sz w:val="20"/>
        </w:rPr>
        <w:t>Product List</w:t>
      </w:r>
      <w:r w:rsidRPr="00BF592C">
        <w:rPr>
          <w:rFonts w:ascii="Arial" w:hAnsi="Arial" w:cs="Arial"/>
          <w:sz w:val="20"/>
        </w:rPr>
        <w:t xml:space="preserve">. The </w:t>
      </w:r>
      <w:r>
        <w:rPr>
          <w:rFonts w:ascii="Arial" w:hAnsi="Arial" w:cs="Arial"/>
          <w:sz w:val="20"/>
        </w:rPr>
        <w:t>study is</w:t>
      </w:r>
      <w:r w:rsidRPr="00BF592C">
        <w:rPr>
          <w:rFonts w:ascii="Arial" w:hAnsi="Arial" w:cs="Arial"/>
          <w:sz w:val="20"/>
        </w:rPr>
        <w:t xml:space="preserve"> a</w:t>
      </w:r>
      <w:r>
        <w:rPr>
          <w:rFonts w:ascii="Arial" w:hAnsi="Arial" w:cs="Arial"/>
          <w:sz w:val="20"/>
        </w:rPr>
        <w:t>ls</w:t>
      </w:r>
      <w:r w:rsidRPr="00BF592C">
        <w:rPr>
          <w:rFonts w:ascii="Arial" w:hAnsi="Arial" w:cs="Arial"/>
          <w:sz w:val="20"/>
        </w:rPr>
        <w:t>o develop</w:t>
      </w:r>
      <w:r>
        <w:rPr>
          <w:rFonts w:ascii="Arial" w:hAnsi="Arial" w:cs="Arial"/>
          <w:sz w:val="20"/>
        </w:rPr>
        <w:t>ing</w:t>
      </w:r>
      <w:r w:rsidRPr="00BF592C">
        <w:rPr>
          <w:rFonts w:ascii="Arial" w:hAnsi="Arial" w:cs="Arial"/>
          <w:sz w:val="20"/>
        </w:rPr>
        <w:t xml:space="preserve"> a proposed definition of “quality” for non</w:t>
      </w:r>
      <w:r>
        <w:rPr>
          <w:rFonts w:ascii="Arial" w:hAnsi="Arial" w:cs="Arial"/>
          <w:sz w:val="20"/>
        </w:rPr>
        <w:t>-residential lighting and will work</w:t>
      </w:r>
      <w:r w:rsidRPr="00BF592C">
        <w:rPr>
          <w:rFonts w:ascii="Arial" w:hAnsi="Arial" w:cs="Arial"/>
          <w:sz w:val="20"/>
        </w:rPr>
        <w:t xml:space="preserve"> with Commission staff to finalize this quality definition for future use in </w:t>
      </w:r>
      <w:r w:rsidR="00DE15A9">
        <w:rPr>
          <w:rFonts w:ascii="Arial" w:hAnsi="Arial" w:cs="Arial"/>
          <w:sz w:val="20"/>
        </w:rPr>
        <w:t>IOU</w:t>
      </w:r>
      <w:r w:rsidRPr="00BF592C">
        <w:rPr>
          <w:rFonts w:ascii="Arial" w:hAnsi="Arial" w:cs="Arial"/>
          <w:sz w:val="20"/>
        </w:rPr>
        <w:t>’s lighting portfolio.</w:t>
      </w:r>
    </w:p>
    <w:p w14:paraId="650FD4B8" w14:textId="77777777" w:rsidR="00F84644" w:rsidRDefault="00F84644" w:rsidP="00F84644">
      <w:pPr>
        <w:rPr>
          <w:rFonts w:ascii="Arial" w:hAnsi="Arial" w:cs="Arial"/>
          <w:sz w:val="20"/>
        </w:rPr>
      </w:pPr>
    </w:p>
    <w:p w14:paraId="3372BA53" w14:textId="77777777" w:rsidR="00F84644" w:rsidRDefault="00F84644" w:rsidP="00F84644">
      <w:pPr>
        <w:rPr>
          <w:rFonts w:ascii="Arial" w:hAnsi="Arial" w:cs="Arial"/>
          <w:sz w:val="20"/>
        </w:rPr>
      </w:pPr>
    </w:p>
    <w:p w14:paraId="1D2C4728" w14:textId="0A5A8010" w:rsidR="00FC1C58" w:rsidRDefault="00FC1C58" w:rsidP="00DE15A9">
      <w:pPr>
        <w:pStyle w:val="Heading3"/>
        <w:spacing w:before="0"/>
      </w:pPr>
      <w:bookmarkStart w:id="83" w:name="_Toc2804909"/>
      <w:r>
        <w:t>1.5.5 TLED Baseline</w:t>
      </w:r>
      <w:bookmarkEnd w:id="83"/>
    </w:p>
    <w:p w14:paraId="46B29BE1" w14:textId="70B92AF5" w:rsidR="00FC1C58" w:rsidRDefault="00FC1C58" w:rsidP="00FC1C58">
      <w:pPr>
        <w:rPr>
          <w:rFonts w:ascii="Arial" w:hAnsi="Arial" w:cs="Arial"/>
          <w:sz w:val="20"/>
          <w:szCs w:val="20"/>
        </w:rPr>
      </w:pPr>
      <w:r w:rsidRPr="00744555">
        <w:rPr>
          <w:rFonts w:ascii="Arial" w:hAnsi="Arial" w:cs="Arial"/>
          <w:sz w:val="20"/>
          <w:szCs w:val="20"/>
        </w:rPr>
        <w:t>The TLED base case proposed here is based on evidence from the pricing study above, incentive program performance in SCE &amp; PG&amp;E territories, NEMA national sales data, and input from local distribution channels. All data sources suggest that TLEDs are a popular</w:t>
      </w:r>
      <w:r w:rsidR="00DE15A9">
        <w:rPr>
          <w:rFonts w:ascii="Arial" w:hAnsi="Arial" w:cs="Arial"/>
          <w:sz w:val="20"/>
          <w:szCs w:val="20"/>
        </w:rPr>
        <w:t xml:space="preserve"> retrofit</w:t>
      </w:r>
      <w:r w:rsidRPr="00744555">
        <w:rPr>
          <w:rFonts w:ascii="Arial" w:hAnsi="Arial" w:cs="Arial"/>
          <w:sz w:val="20"/>
          <w:szCs w:val="20"/>
        </w:rPr>
        <w:t xml:space="preserve"> alternative to </w:t>
      </w:r>
      <w:r w:rsidR="00DE15A9">
        <w:rPr>
          <w:rFonts w:ascii="Arial" w:hAnsi="Arial" w:cs="Arial"/>
          <w:sz w:val="20"/>
          <w:szCs w:val="20"/>
        </w:rPr>
        <w:t xml:space="preserve">the </w:t>
      </w:r>
      <w:r w:rsidRPr="00744555">
        <w:rPr>
          <w:rFonts w:ascii="Arial" w:hAnsi="Arial" w:cs="Arial"/>
          <w:sz w:val="20"/>
          <w:szCs w:val="20"/>
        </w:rPr>
        <w:t xml:space="preserve">purchase of new luminaire or luminaire retrofit kit. </w:t>
      </w:r>
    </w:p>
    <w:p w14:paraId="66139865" w14:textId="427CA3B8" w:rsidR="00FC1C58" w:rsidRDefault="00FC1C58" w:rsidP="00DE15A9">
      <w:pPr>
        <w:spacing w:before="120"/>
        <w:rPr>
          <w:rFonts w:ascii="Arial" w:hAnsi="Arial" w:cs="Arial"/>
          <w:sz w:val="20"/>
          <w:szCs w:val="20"/>
        </w:rPr>
      </w:pPr>
      <w:r w:rsidRPr="002A173B">
        <w:rPr>
          <w:rFonts w:ascii="Arial" w:hAnsi="Arial" w:cs="Arial"/>
          <w:sz w:val="20"/>
          <w:szCs w:val="20"/>
        </w:rPr>
        <w:t xml:space="preserve">In </w:t>
      </w:r>
      <w:r>
        <w:rPr>
          <w:rFonts w:ascii="Arial" w:hAnsi="Arial" w:cs="Arial"/>
          <w:sz w:val="20"/>
          <w:szCs w:val="20"/>
        </w:rPr>
        <w:t>normal replacement</w:t>
      </w:r>
      <w:r w:rsidRPr="002A173B">
        <w:rPr>
          <w:rFonts w:ascii="Arial" w:hAnsi="Arial" w:cs="Arial"/>
          <w:sz w:val="20"/>
          <w:szCs w:val="20"/>
        </w:rPr>
        <w:t xml:space="preserve"> scenarios, customers who intend to upgrade to LED technology can choose </w:t>
      </w:r>
      <w:r>
        <w:rPr>
          <w:rFonts w:ascii="Arial" w:hAnsi="Arial" w:cs="Arial"/>
          <w:sz w:val="20"/>
          <w:szCs w:val="20"/>
        </w:rPr>
        <w:t xml:space="preserve">either </w:t>
      </w:r>
      <w:r w:rsidRPr="002A173B">
        <w:rPr>
          <w:rFonts w:ascii="Arial" w:hAnsi="Arial" w:cs="Arial"/>
          <w:sz w:val="20"/>
          <w:szCs w:val="20"/>
        </w:rPr>
        <w:t xml:space="preserve">to replace the entire fixture with a new LED luminaire or </w:t>
      </w:r>
      <w:r>
        <w:rPr>
          <w:rFonts w:ascii="Arial" w:hAnsi="Arial" w:cs="Arial"/>
          <w:sz w:val="20"/>
          <w:szCs w:val="20"/>
        </w:rPr>
        <w:t xml:space="preserve">fixture </w:t>
      </w:r>
      <w:r w:rsidRPr="002A173B">
        <w:rPr>
          <w:rFonts w:ascii="Arial" w:hAnsi="Arial" w:cs="Arial"/>
          <w:sz w:val="20"/>
          <w:szCs w:val="20"/>
        </w:rPr>
        <w:t>retrofit kit</w:t>
      </w:r>
      <w:r>
        <w:rPr>
          <w:rFonts w:ascii="Arial" w:hAnsi="Arial" w:cs="Arial"/>
          <w:sz w:val="20"/>
          <w:szCs w:val="20"/>
        </w:rPr>
        <w:t>,</w:t>
      </w:r>
      <w:r w:rsidRPr="002A173B">
        <w:rPr>
          <w:rFonts w:ascii="Arial" w:hAnsi="Arial" w:cs="Arial"/>
          <w:sz w:val="20"/>
          <w:szCs w:val="20"/>
        </w:rPr>
        <w:t xml:space="preserve"> or replace linear fluorescent lamps with </w:t>
      </w:r>
      <w:r>
        <w:rPr>
          <w:rFonts w:ascii="Arial" w:hAnsi="Arial" w:cs="Arial"/>
          <w:sz w:val="20"/>
          <w:szCs w:val="20"/>
        </w:rPr>
        <w:t xml:space="preserve">linear LED lamps (aka </w:t>
      </w:r>
      <w:r w:rsidRPr="002A173B">
        <w:rPr>
          <w:rFonts w:ascii="Arial" w:hAnsi="Arial" w:cs="Arial"/>
          <w:sz w:val="20"/>
          <w:szCs w:val="20"/>
        </w:rPr>
        <w:t>TLED</w:t>
      </w:r>
      <w:r>
        <w:rPr>
          <w:rFonts w:ascii="Arial" w:hAnsi="Arial" w:cs="Arial"/>
          <w:sz w:val="20"/>
          <w:szCs w:val="20"/>
        </w:rPr>
        <w:t>s)</w:t>
      </w:r>
      <w:r w:rsidRPr="002A173B">
        <w:rPr>
          <w:rFonts w:ascii="Arial" w:hAnsi="Arial" w:cs="Arial"/>
          <w:sz w:val="20"/>
          <w:szCs w:val="20"/>
        </w:rPr>
        <w:t>.</w:t>
      </w:r>
      <w:r w:rsidRPr="00504C48">
        <w:rPr>
          <w:rFonts w:ascii="Arial" w:hAnsi="Arial" w:cs="Arial"/>
          <w:sz w:val="20"/>
          <w:szCs w:val="20"/>
        </w:rPr>
        <w:t xml:space="preserve"> </w:t>
      </w:r>
      <w:r w:rsidRPr="00E7683E">
        <w:rPr>
          <w:rFonts w:ascii="Arial" w:hAnsi="Arial" w:cs="Arial"/>
          <w:sz w:val="20"/>
          <w:szCs w:val="20"/>
        </w:rPr>
        <w:t xml:space="preserve">Customers who intend to upgrade their existing non-LED technologies to LED technology are faced with the two scenarios </w:t>
      </w:r>
      <w:r w:rsidR="00DE15A9">
        <w:rPr>
          <w:rFonts w:ascii="Arial" w:hAnsi="Arial" w:cs="Arial"/>
          <w:sz w:val="20"/>
          <w:szCs w:val="20"/>
        </w:rPr>
        <w:t xml:space="preserve">that </w:t>
      </w:r>
      <w:r w:rsidRPr="00E7683E">
        <w:rPr>
          <w:rFonts w:ascii="Arial" w:hAnsi="Arial" w:cs="Arial"/>
          <w:sz w:val="20"/>
          <w:szCs w:val="20"/>
        </w:rPr>
        <w:t>Navigant highlights</w:t>
      </w:r>
      <w:r w:rsidR="00DE15A9">
        <w:rPr>
          <w:rFonts w:ascii="Arial" w:hAnsi="Arial" w:cs="Arial"/>
          <w:sz w:val="20"/>
          <w:szCs w:val="20"/>
        </w:rPr>
        <w:t>:</w:t>
      </w:r>
      <w:r w:rsidRPr="00E7683E">
        <w:rPr>
          <w:rFonts w:ascii="Arial" w:hAnsi="Arial" w:cs="Arial"/>
          <w:sz w:val="20"/>
          <w:szCs w:val="20"/>
        </w:rPr>
        <w:t xml:space="preserve"> a full LED luminaire fixture/retrofit kit replacement or upgrading to TLEDs. Cost-sensitive customers may choose the less expensive TLED option; coupled with the data that indicates steady increases in TLED market penetration, PG&amp;E</w:t>
      </w:r>
      <w:r w:rsidR="0024210B">
        <w:rPr>
          <w:rFonts w:ascii="Arial" w:hAnsi="Arial" w:cs="Arial"/>
          <w:sz w:val="20"/>
          <w:szCs w:val="20"/>
        </w:rPr>
        <w:t xml:space="preserve"> thus</w:t>
      </w:r>
      <w:r w:rsidRPr="00E7683E">
        <w:rPr>
          <w:rFonts w:ascii="Arial" w:hAnsi="Arial" w:cs="Arial"/>
          <w:sz w:val="20"/>
          <w:szCs w:val="20"/>
        </w:rPr>
        <w:t xml:space="preserve"> believe</w:t>
      </w:r>
      <w:r w:rsidR="0024210B">
        <w:rPr>
          <w:rFonts w:ascii="Arial" w:hAnsi="Arial" w:cs="Arial"/>
          <w:sz w:val="20"/>
          <w:szCs w:val="20"/>
        </w:rPr>
        <w:t>d</w:t>
      </w:r>
      <w:r w:rsidRPr="00E7683E">
        <w:rPr>
          <w:rFonts w:ascii="Arial" w:hAnsi="Arial" w:cs="Arial"/>
          <w:sz w:val="20"/>
          <w:szCs w:val="20"/>
        </w:rPr>
        <w:t xml:space="preserve"> </w:t>
      </w:r>
      <w:r w:rsidR="00DE15A9">
        <w:rPr>
          <w:rFonts w:ascii="Arial" w:hAnsi="Arial" w:cs="Arial"/>
          <w:sz w:val="20"/>
          <w:szCs w:val="20"/>
        </w:rPr>
        <w:t>it is</w:t>
      </w:r>
      <w:r w:rsidRPr="00E7683E">
        <w:rPr>
          <w:rFonts w:ascii="Arial" w:hAnsi="Arial" w:cs="Arial"/>
          <w:sz w:val="20"/>
          <w:szCs w:val="20"/>
        </w:rPr>
        <w:t xml:space="preserve"> reasonabl</w:t>
      </w:r>
      <w:r w:rsidR="00DE15A9">
        <w:rPr>
          <w:rFonts w:ascii="Arial" w:hAnsi="Arial" w:cs="Arial"/>
          <w:sz w:val="20"/>
          <w:szCs w:val="20"/>
        </w:rPr>
        <w:t>e to include</w:t>
      </w:r>
      <w:r w:rsidR="00EA5279">
        <w:rPr>
          <w:rFonts w:ascii="Arial" w:hAnsi="Arial" w:cs="Arial"/>
          <w:sz w:val="20"/>
          <w:szCs w:val="20"/>
        </w:rPr>
        <w:t xml:space="preserve"> TLEDs </w:t>
      </w:r>
      <w:r w:rsidRPr="00E7683E">
        <w:rPr>
          <w:rFonts w:ascii="Arial" w:hAnsi="Arial" w:cs="Arial"/>
          <w:sz w:val="20"/>
          <w:szCs w:val="20"/>
        </w:rPr>
        <w:t xml:space="preserve">as part of the NR baseline scenario. </w:t>
      </w:r>
    </w:p>
    <w:p w14:paraId="18CA502F" w14:textId="77777777" w:rsidR="00FC1C58" w:rsidRDefault="00FC1C58" w:rsidP="00FC1C58">
      <w:pPr>
        <w:rPr>
          <w:rFonts w:ascii="Arial" w:hAnsi="Arial" w:cs="Arial"/>
          <w:sz w:val="20"/>
          <w:szCs w:val="20"/>
        </w:rPr>
      </w:pPr>
    </w:p>
    <w:p w14:paraId="2472C75C" w14:textId="77777777" w:rsidR="00FC1C58" w:rsidRPr="00744555" w:rsidRDefault="00FC1C58" w:rsidP="00FC1C58">
      <w:pPr>
        <w:rPr>
          <w:rFonts w:ascii="Arial" w:hAnsi="Arial" w:cs="Arial"/>
          <w:sz w:val="20"/>
          <w:szCs w:val="20"/>
        </w:rPr>
      </w:pPr>
    </w:p>
    <w:p w14:paraId="6256D54F" w14:textId="35557831" w:rsidR="00FC1C58" w:rsidRDefault="00694C35" w:rsidP="00FC1C58">
      <w:pPr>
        <w:keepNext/>
      </w:pPr>
      <w:r>
        <w:rPr>
          <w:noProof/>
        </w:rPr>
        <w:lastRenderedPageBreak/>
        <w:drawing>
          <wp:inline distT="0" distB="0" distL="0" distR="0" wp14:anchorId="4F191DAC" wp14:editId="38FF4DB9">
            <wp:extent cx="5634990" cy="2849245"/>
            <wp:effectExtent l="0" t="0" r="0" b="0"/>
            <wp:docPr id="4" name="Picture 32" descr="https://www.nema.org/Intelligence/Documents/Linear-Fluorescent-Lamp-Indexes-Continue-to-Decline-in-Second-Quarter-20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www.nema.org/Intelligence/Documents/Linear-Fluorescent-Lamp-Indexes-Continue-to-Decline-in-Second-Quarter-2017.gif"/>
                    <pic:cNvPicPr>
                      <a:picLocks noChangeAspect="1" noChangeArrowheads="1"/>
                    </pic:cNvPicPr>
                  </pic:nvPicPr>
                  <pic:blipFill>
                    <a:blip r:embed="rId21">
                      <a:extLst>
                        <a:ext uri="{28A0092B-C50C-407E-A947-70E740481C1C}">
                          <a14:useLocalDpi xmlns:a14="http://schemas.microsoft.com/office/drawing/2010/main" val="0"/>
                        </a:ext>
                      </a:extLst>
                    </a:blip>
                    <a:srcRect t="50592"/>
                    <a:stretch>
                      <a:fillRect/>
                    </a:stretch>
                  </pic:blipFill>
                  <pic:spPr bwMode="auto">
                    <a:xfrm>
                      <a:off x="0" y="0"/>
                      <a:ext cx="5634990" cy="2849245"/>
                    </a:xfrm>
                    <a:prstGeom prst="rect">
                      <a:avLst/>
                    </a:prstGeom>
                    <a:noFill/>
                    <a:ln>
                      <a:noFill/>
                    </a:ln>
                  </pic:spPr>
                </pic:pic>
              </a:graphicData>
            </a:graphic>
          </wp:inline>
        </w:drawing>
      </w:r>
    </w:p>
    <w:p w14:paraId="38421D14" w14:textId="77777777" w:rsidR="00FC1C58" w:rsidRDefault="00FC1C58" w:rsidP="00FC1C58">
      <w:pPr>
        <w:pStyle w:val="Caption"/>
        <w:rPr>
          <w:rFonts w:cs="Arial"/>
        </w:rPr>
      </w:pPr>
      <w:bookmarkStart w:id="84" w:name="_Toc2804950"/>
      <w:r>
        <w:t xml:space="preserve">Figure </w:t>
      </w:r>
      <w:fldSimple w:instr=" SEQ Figure \* ARABIC ">
        <w:r>
          <w:rPr>
            <w:noProof/>
          </w:rPr>
          <w:t>2</w:t>
        </w:r>
      </w:fldSimple>
      <w:r>
        <w:t xml:space="preserve">: </w:t>
      </w:r>
      <w:r w:rsidRPr="000459C9">
        <w:t>NEMA Linear Lamp Penetration, Q2 2017</w:t>
      </w:r>
      <w:bookmarkEnd w:id="84"/>
    </w:p>
    <w:p w14:paraId="5B6258E3" w14:textId="77777777" w:rsidR="00FC1C58" w:rsidRDefault="00FC1C58" w:rsidP="00FC1C58">
      <w:pPr>
        <w:rPr>
          <w:rFonts w:cs="Arial"/>
        </w:rPr>
      </w:pPr>
    </w:p>
    <w:p w14:paraId="66F8E763" w14:textId="3F42C142" w:rsidR="00FC1C58" w:rsidRDefault="00FC1C58" w:rsidP="00FC1C58">
      <w:pPr>
        <w:rPr>
          <w:rFonts w:ascii="Arial" w:hAnsi="Arial" w:cs="Arial"/>
          <w:sz w:val="20"/>
          <w:szCs w:val="20"/>
        </w:rPr>
      </w:pPr>
      <w:r w:rsidRPr="00744555">
        <w:rPr>
          <w:rFonts w:ascii="Arial" w:hAnsi="Arial" w:cs="Arial"/>
          <w:sz w:val="20"/>
          <w:szCs w:val="20"/>
        </w:rPr>
        <w:t>NEMA shipment data shows that TLED purchases have been increasing over the last several years compared to other linear lamp types (see Figure 2 above).</w:t>
      </w:r>
      <w:r w:rsidRPr="00744555">
        <w:rPr>
          <w:rStyle w:val="EndnoteReference"/>
          <w:rFonts w:ascii="Arial" w:hAnsi="Arial" w:cs="Arial"/>
          <w:sz w:val="20"/>
          <w:szCs w:val="20"/>
        </w:rPr>
        <w:endnoteReference w:id="13"/>
      </w:r>
      <w:r w:rsidRPr="00744555">
        <w:rPr>
          <w:rFonts w:ascii="Arial" w:hAnsi="Arial" w:cs="Arial"/>
          <w:sz w:val="20"/>
          <w:szCs w:val="20"/>
        </w:rPr>
        <w:t xml:space="preserve"> Much of that popularity is driven by low cost (for similar levels of energy savings), significantly lower costs than the costs of both baseline and measure case new LED luminaires and retrofit kits. </w:t>
      </w:r>
    </w:p>
    <w:p w14:paraId="46D624EA" w14:textId="437FAB00" w:rsidR="003F7432" w:rsidRPr="0059303E" w:rsidRDefault="003F7432" w:rsidP="003F7432">
      <w:pPr>
        <w:spacing w:before="120"/>
        <w:rPr>
          <w:rFonts w:ascii="Arial" w:hAnsi="Arial" w:cs="Arial"/>
          <w:sz w:val="20"/>
          <w:szCs w:val="20"/>
        </w:rPr>
      </w:pPr>
      <w:r w:rsidRPr="0059303E">
        <w:rPr>
          <w:rFonts w:ascii="Arial" w:hAnsi="Arial" w:cs="Arial"/>
          <w:sz w:val="20"/>
          <w:szCs w:val="20"/>
        </w:rPr>
        <w:t xml:space="preserve">The baseline share of LED tubular replacement lamps (TLEDs) is estimated at a significant share, </w:t>
      </w:r>
      <w:r>
        <w:rPr>
          <w:rFonts w:ascii="Arial" w:hAnsi="Arial" w:cs="Arial"/>
          <w:sz w:val="20"/>
          <w:szCs w:val="20"/>
        </w:rPr>
        <w:t>up to 20</w:t>
      </w:r>
      <w:r w:rsidRPr="0059303E">
        <w:rPr>
          <w:rFonts w:ascii="Arial" w:hAnsi="Arial" w:cs="Arial"/>
          <w:sz w:val="20"/>
          <w:szCs w:val="20"/>
        </w:rPr>
        <w:t xml:space="preserve">%, </w:t>
      </w:r>
      <w:r>
        <w:rPr>
          <w:rFonts w:ascii="Arial" w:hAnsi="Arial" w:cs="Arial"/>
          <w:sz w:val="20"/>
          <w:szCs w:val="20"/>
        </w:rPr>
        <w:t xml:space="preserve">with the value in each lumen bin equal to the fluorescent baseline share because as </w:t>
      </w:r>
      <w:r w:rsidR="005004E6">
        <w:rPr>
          <w:rFonts w:ascii="Arial" w:hAnsi="Arial" w:cs="Arial"/>
          <w:sz w:val="20"/>
          <w:szCs w:val="20"/>
        </w:rPr>
        <w:t>f</w:t>
      </w:r>
      <w:r>
        <w:rPr>
          <w:rFonts w:ascii="Arial" w:hAnsi="Arial" w:cs="Arial"/>
          <w:sz w:val="20"/>
          <w:szCs w:val="20"/>
        </w:rPr>
        <w:t xml:space="preserve">luorescent fixtures are no longer suitable for very high output products, the </w:t>
      </w:r>
      <w:proofErr w:type="spellStart"/>
      <w:r>
        <w:rPr>
          <w:rFonts w:ascii="Arial" w:hAnsi="Arial" w:cs="Arial"/>
          <w:sz w:val="20"/>
          <w:szCs w:val="20"/>
        </w:rPr>
        <w:t>lampholders</w:t>
      </w:r>
      <w:proofErr w:type="spellEnd"/>
      <w:r>
        <w:rPr>
          <w:rFonts w:ascii="Arial" w:hAnsi="Arial" w:cs="Arial"/>
          <w:sz w:val="20"/>
          <w:szCs w:val="20"/>
        </w:rPr>
        <w:t xml:space="preserve"> that TLEDs require will also not be available for the highest output </w:t>
      </w:r>
      <w:proofErr w:type="spellStart"/>
      <w:r>
        <w:rPr>
          <w:rFonts w:ascii="Arial" w:hAnsi="Arial" w:cs="Arial"/>
          <w:sz w:val="20"/>
          <w:szCs w:val="20"/>
        </w:rPr>
        <w:t>highbays</w:t>
      </w:r>
      <w:proofErr w:type="spellEnd"/>
      <w:r w:rsidRPr="0059303E">
        <w:rPr>
          <w:rFonts w:ascii="Arial" w:hAnsi="Arial" w:cs="Arial"/>
          <w:sz w:val="20"/>
          <w:szCs w:val="20"/>
        </w:rPr>
        <w:t>. Bonneville Power Administration (BPA) conducted a Non-Residential Lighting Market Characterization Study for the Pacific Northwest Region indicated that LED sales continue to increase rapidly, accounting for 15% of all non-residential sales, with LED lamps and tubes representing the majority of the growth at 10% of total sales.</w:t>
      </w:r>
      <w:r w:rsidRPr="0059303E">
        <w:rPr>
          <w:rStyle w:val="EndnoteReference"/>
          <w:rFonts w:ascii="Arial" w:hAnsi="Arial" w:cs="Arial"/>
          <w:sz w:val="20"/>
          <w:szCs w:val="20"/>
        </w:rPr>
        <w:endnoteReference w:id="14"/>
      </w:r>
      <w:r w:rsidRPr="0059303E">
        <w:rPr>
          <w:rFonts w:ascii="Arial" w:hAnsi="Arial" w:cs="Arial"/>
          <w:sz w:val="20"/>
          <w:szCs w:val="20"/>
        </w:rPr>
        <w:t xml:space="preserve"> The </w:t>
      </w:r>
      <w:r>
        <w:rPr>
          <w:rFonts w:ascii="Arial" w:hAnsi="Arial" w:cs="Arial"/>
          <w:sz w:val="20"/>
          <w:szCs w:val="20"/>
        </w:rPr>
        <w:t>20</w:t>
      </w:r>
      <w:r w:rsidRPr="0059303E">
        <w:rPr>
          <w:rFonts w:ascii="Arial" w:hAnsi="Arial" w:cs="Arial"/>
          <w:sz w:val="20"/>
          <w:szCs w:val="20"/>
        </w:rPr>
        <w:t>% TLED scenario is also a balance point which yields positive IMCs as well as enough savings for a cost-effective program. PG&amp;E will review program data in mid-year 2019 along with</w:t>
      </w:r>
      <w:r w:rsidR="005004E6">
        <w:rPr>
          <w:rFonts w:ascii="Arial" w:hAnsi="Arial" w:cs="Arial"/>
          <w:sz w:val="20"/>
          <w:szCs w:val="20"/>
        </w:rPr>
        <w:t xml:space="preserve"> other publicly available study/</w:t>
      </w:r>
      <w:r w:rsidRPr="0059303E">
        <w:rPr>
          <w:rFonts w:ascii="Arial" w:hAnsi="Arial" w:cs="Arial"/>
          <w:sz w:val="20"/>
          <w:szCs w:val="20"/>
        </w:rPr>
        <w:t>data to determine if the TLED percentage requires update.</w:t>
      </w:r>
    </w:p>
    <w:p w14:paraId="7EFCE47A" w14:textId="77777777" w:rsidR="003F7432" w:rsidRPr="00744555" w:rsidRDefault="003F7432" w:rsidP="00FC1C58">
      <w:pPr>
        <w:rPr>
          <w:rFonts w:ascii="Arial" w:hAnsi="Arial" w:cs="Arial"/>
          <w:sz w:val="20"/>
          <w:szCs w:val="20"/>
        </w:rPr>
      </w:pPr>
    </w:p>
    <w:p w14:paraId="75D1A285" w14:textId="77777777" w:rsidR="00FC1C58" w:rsidRPr="0059303E" w:rsidRDefault="00FC1C58" w:rsidP="00FC1C58">
      <w:pPr>
        <w:pStyle w:val="Heading4"/>
        <w:rPr>
          <w:b/>
          <w:color w:val="auto"/>
          <w:sz w:val="20"/>
          <w:szCs w:val="20"/>
        </w:rPr>
      </w:pPr>
      <w:r w:rsidRPr="0059303E">
        <w:rPr>
          <w:b/>
          <w:color w:val="auto"/>
          <w:sz w:val="20"/>
          <w:szCs w:val="20"/>
        </w:rPr>
        <w:t>TLEDs as a Viable Retrofit Alternative to Full Fixture Replacement</w:t>
      </w:r>
    </w:p>
    <w:p w14:paraId="0654B531" w14:textId="77777777" w:rsidR="00FC1C58" w:rsidRPr="00744555" w:rsidRDefault="00FC1C58" w:rsidP="00FC1C58">
      <w:pPr>
        <w:rPr>
          <w:rFonts w:ascii="Arial" w:hAnsi="Arial" w:cs="Arial"/>
          <w:sz w:val="20"/>
          <w:szCs w:val="20"/>
        </w:rPr>
      </w:pPr>
      <w:r w:rsidRPr="00744555">
        <w:rPr>
          <w:rFonts w:ascii="Arial" w:hAnsi="Arial" w:cs="Arial"/>
          <w:sz w:val="20"/>
          <w:szCs w:val="20"/>
        </w:rPr>
        <w:t xml:space="preserve">The 2018 California LED Pricing Analysis by Navigant distinguishes the lighting luminaire market from the replacement market, and suggests that customer purchase decisions are not solely influenced by </w:t>
      </w:r>
      <w:r w:rsidRPr="005004E6">
        <w:rPr>
          <w:rFonts w:ascii="Arial" w:hAnsi="Arial" w:cs="Arial"/>
          <w:sz w:val="20"/>
          <w:szCs w:val="20"/>
        </w:rPr>
        <w:t>fixture</w:t>
      </w:r>
      <w:r w:rsidRPr="00744555">
        <w:rPr>
          <w:rFonts w:ascii="Arial" w:hAnsi="Arial" w:cs="Arial"/>
          <w:sz w:val="20"/>
          <w:szCs w:val="20"/>
        </w:rPr>
        <w:t xml:space="preserve"> cost differentials but include other options such as lamps that also deliver energy savings.</w:t>
      </w:r>
    </w:p>
    <w:p w14:paraId="7AB7C96D" w14:textId="77777777" w:rsidR="00FC1C58" w:rsidRPr="00744555" w:rsidRDefault="00FC1C58" w:rsidP="00FC1C58">
      <w:pPr>
        <w:rPr>
          <w:rFonts w:ascii="Arial" w:hAnsi="Arial" w:cs="Arial"/>
          <w:sz w:val="20"/>
          <w:szCs w:val="20"/>
        </w:rPr>
      </w:pPr>
    </w:p>
    <w:p w14:paraId="77B75660" w14:textId="24A2F3B6" w:rsidR="00FC1C58" w:rsidRPr="00744555" w:rsidRDefault="00FC1C58" w:rsidP="00FC1C58">
      <w:pPr>
        <w:rPr>
          <w:rFonts w:cs="Arial"/>
        </w:rPr>
      </w:pPr>
      <w:r w:rsidRPr="00744555">
        <w:rPr>
          <w:rFonts w:ascii="Arial" w:hAnsi="Arial" w:cs="Arial"/>
          <w:sz w:val="20"/>
          <w:szCs w:val="20"/>
        </w:rPr>
        <w:t xml:space="preserve">As Navigant’s key findings suggest, and as shown in Figure 3 below, the inclusion of TLEDs has a significant effect on incremental costs for these measures. In this </w:t>
      </w:r>
      <w:r>
        <w:rPr>
          <w:rFonts w:ascii="Arial" w:hAnsi="Arial" w:cs="Arial"/>
          <w:sz w:val="20"/>
          <w:szCs w:val="20"/>
        </w:rPr>
        <w:t>workpaper</w:t>
      </w:r>
      <w:r w:rsidRPr="00744555">
        <w:rPr>
          <w:rFonts w:ascii="Arial" w:hAnsi="Arial" w:cs="Arial"/>
          <w:sz w:val="20"/>
          <w:szCs w:val="20"/>
        </w:rPr>
        <w:t xml:space="preserve">, TLEDs are </w:t>
      </w:r>
      <w:r>
        <w:rPr>
          <w:rFonts w:ascii="Arial" w:hAnsi="Arial" w:cs="Arial"/>
          <w:sz w:val="20"/>
          <w:szCs w:val="20"/>
        </w:rPr>
        <w:t xml:space="preserve">much </w:t>
      </w:r>
      <w:r w:rsidRPr="00744555">
        <w:rPr>
          <w:rFonts w:ascii="Arial" w:hAnsi="Arial" w:cs="Arial"/>
          <w:sz w:val="20"/>
          <w:szCs w:val="20"/>
        </w:rPr>
        <w:t>less expensive than either base case (</w:t>
      </w:r>
      <w:r w:rsidR="00B161C1">
        <w:rPr>
          <w:rFonts w:ascii="Arial" w:hAnsi="Arial" w:cs="Arial"/>
          <w:sz w:val="20"/>
          <w:szCs w:val="20"/>
        </w:rPr>
        <w:t>97</w:t>
      </w:r>
      <w:r w:rsidRPr="00744555">
        <w:rPr>
          <w:rFonts w:ascii="Arial" w:hAnsi="Arial" w:cs="Arial"/>
          <w:sz w:val="20"/>
          <w:szCs w:val="20"/>
        </w:rPr>
        <w:t xml:space="preserve">+ </w:t>
      </w:r>
      <w:r>
        <w:rPr>
          <w:rFonts w:ascii="Arial" w:hAnsi="Arial" w:cs="Arial"/>
          <w:sz w:val="20"/>
          <w:szCs w:val="20"/>
        </w:rPr>
        <w:t>lm/</w:t>
      </w:r>
      <w:r w:rsidRPr="00744555">
        <w:rPr>
          <w:rFonts w:ascii="Arial" w:hAnsi="Arial" w:cs="Arial"/>
          <w:sz w:val="20"/>
          <w:szCs w:val="20"/>
        </w:rPr>
        <w:t xml:space="preserve">W) or measure case </w:t>
      </w:r>
      <w:proofErr w:type="gramStart"/>
      <w:r w:rsidRPr="00744555">
        <w:rPr>
          <w:rFonts w:ascii="Arial" w:hAnsi="Arial" w:cs="Arial"/>
          <w:sz w:val="20"/>
          <w:szCs w:val="20"/>
        </w:rPr>
        <w:t>(1</w:t>
      </w:r>
      <w:r w:rsidR="00B161C1">
        <w:rPr>
          <w:rFonts w:ascii="Arial" w:hAnsi="Arial" w:cs="Arial"/>
          <w:sz w:val="20"/>
          <w:szCs w:val="20"/>
        </w:rPr>
        <w:t>10</w:t>
      </w:r>
      <w:r>
        <w:rPr>
          <w:rFonts w:ascii="Arial" w:hAnsi="Arial" w:cs="Arial"/>
          <w:sz w:val="20"/>
          <w:szCs w:val="20"/>
        </w:rPr>
        <w:t>+</w:t>
      </w:r>
      <w:r w:rsidRPr="00744555">
        <w:rPr>
          <w:rFonts w:ascii="Arial" w:hAnsi="Arial" w:cs="Arial"/>
          <w:sz w:val="20"/>
          <w:szCs w:val="20"/>
        </w:rPr>
        <w:t xml:space="preserve"> </w:t>
      </w:r>
      <w:r>
        <w:rPr>
          <w:rFonts w:ascii="Arial" w:hAnsi="Arial" w:cs="Arial"/>
          <w:sz w:val="20"/>
          <w:szCs w:val="20"/>
        </w:rPr>
        <w:t>lm/</w:t>
      </w:r>
      <w:r w:rsidRPr="00744555">
        <w:rPr>
          <w:rFonts w:ascii="Arial" w:hAnsi="Arial" w:cs="Arial"/>
          <w:sz w:val="20"/>
          <w:szCs w:val="20"/>
        </w:rPr>
        <w:t>W)</w:t>
      </w:r>
      <w:proofErr w:type="gramEnd"/>
      <w:r w:rsidRPr="00744555">
        <w:rPr>
          <w:rFonts w:ascii="Arial" w:hAnsi="Arial" w:cs="Arial"/>
          <w:sz w:val="20"/>
          <w:szCs w:val="20"/>
        </w:rPr>
        <w:t xml:space="preserve"> LED products. </w:t>
      </w:r>
    </w:p>
    <w:p w14:paraId="4F79A3C6" w14:textId="3F9FF5A7" w:rsidR="00FC1C58" w:rsidRDefault="00694C35" w:rsidP="00FC1C58">
      <w:pPr>
        <w:pStyle w:val="ListParagraph"/>
        <w:keepNext/>
        <w:ind w:left="0"/>
      </w:pPr>
      <w:r>
        <w:rPr>
          <w:noProof/>
        </w:rPr>
        <w:lastRenderedPageBreak/>
        <w:drawing>
          <wp:inline distT="0" distB="0" distL="0" distR="0" wp14:anchorId="50D6305C" wp14:editId="7C17FF09">
            <wp:extent cx="5742940" cy="4890135"/>
            <wp:effectExtent l="0" t="0" r="0" b="0"/>
            <wp:docPr id="5"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088CC95C" w14:textId="77777777" w:rsidR="00FC1C58" w:rsidRDefault="00FC1C58" w:rsidP="00FC1C58">
      <w:pPr>
        <w:pStyle w:val="Caption"/>
        <w:keepNext/>
      </w:pPr>
      <w:bookmarkStart w:id="85" w:name="_Toc2804951"/>
      <w:r>
        <w:t xml:space="preserve">Figure </w:t>
      </w:r>
      <w:fldSimple w:instr=" SEQ Figure \* ARABIC ">
        <w:r>
          <w:rPr>
            <w:noProof/>
          </w:rPr>
          <w:t>3</w:t>
        </w:r>
      </w:fldSimple>
      <w:r>
        <w:t xml:space="preserve">: </w:t>
      </w:r>
      <w:r w:rsidRPr="00DD5458">
        <w:t xml:space="preserve">Impact </w:t>
      </w:r>
      <w:r>
        <w:t>of TLEDs on IMC for LED Troffer measures</w:t>
      </w:r>
      <w:bookmarkEnd w:id="85"/>
    </w:p>
    <w:p w14:paraId="1C158D84" w14:textId="77777777" w:rsidR="00FC1C58" w:rsidRPr="00296AC2" w:rsidRDefault="00FC1C58" w:rsidP="00FC1C58"/>
    <w:p w14:paraId="01E2B22F" w14:textId="19491EC6" w:rsidR="00FC1C58" w:rsidRPr="00744555" w:rsidRDefault="00FC1C58" w:rsidP="00FC1C58">
      <w:pPr>
        <w:rPr>
          <w:rFonts w:ascii="Arial" w:hAnsi="Arial" w:cs="Arial"/>
          <w:sz w:val="22"/>
          <w:szCs w:val="22"/>
        </w:rPr>
      </w:pPr>
      <w:r w:rsidRPr="00744555">
        <w:rPr>
          <w:rFonts w:ascii="Arial" w:hAnsi="Arial" w:cs="Arial"/>
          <w:sz w:val="20"/>
          <w:szCs w:val="22"/>
        </w:rPr>
        <w:t xml:space="preserve">With an increasing percentage of TLEDs in the base case, a positive IMC starts to emerge, which more accurately represents the proportion of the market that is the replacement market as explained by Navigant. (For more details on the calculations, please refer to the </w:t>
      </w:r>
      <w:r>
        <w:rPr>
          <w:rFonts w:ascii="Arial" w:hAnsi="Arial" w:cs="Arial"/>
          <w:sz w:val="20"/>
          <w:szCs w:val="22"/>
        </w:rPr>
        <w:t xml:space="preserve">latest calculation </w:t>
      </w:r>
      <w:r w:rsidRPr="00744555">
        <w:rPr>
          <w:rFonts w:ascii="Arial" w:hAnsi="Arial" w:cs="Arial"/>
          <w:sz w:val="20"/>
          <w:szCs w:val="22"/>
        </w:rPr>
        <w:t>file</w:t>
      </w:r>
      <w:r>
        <w:rPr>
          <w:rFonts w:ascii="Arial" w:hAnsi="Arial" w:cs="Arial"/>
          <w:sz w:val="20"/>
          <w:szCs w:val="22"/>
        </w:rPr>
        <w:t xml:space="preserve"> and vary the TLED base case share on the ‘NR’ worksheet</w:t>
      </w:r>
      <w:r w:rsidRPr="00744555">
        <w:rPr>
          <w:rFonts w:ascii="Arial" w:hAnsi="Arial" w:cs="Arial"/>
          <w:sz w:val="20"/>
          <w:szCs w:val="22"/>
        </w:rPr>
        <w:t xml:space="preserve">). A similar trend also exists for LED </w:t>
      </w:r>
      <w:r w:rsidR="00B161C1">
        <w:rPr>
          <w:rFonts w:ascii="Arial" w:hAnsi="Arial" w:cs="Arial"/>
          <w:sz w:val="20"/>
          <w:szCs w:val="22"/>
        </w:rPr>
        <w:t xml:space="preserve">Troffers, Linear Ambient fixtures, </w:t>
      </w:r>
      <w:r>
        <w:rPr>
          <w:rFonts w:ascii="Arial" w:hAnsi="Arial" w:cs="Arial"/>
          <w:sz w:val="20"/>
          <w:szCs w:val="22"/>
        </w:rPr>
        <w:t>and Parking Garage fixtures</w:t>
      </w:r>
      <w:r w:rsidRPr="00744555">
        <w:rPr>
          <w:rFonts w:ascii="Arial" w:hAnsi="Arial" w:cs="Arial"/>
          <w:sz w:val="20"/>
          <w:szCs w:val="22"/>
        </w:rPr>
        <w:t xml:space="preserve">. </w:t>
      </w:r>
    </w:p>
    <w:p w14:paraId="70DA7583" w14:textId="77777777" w:rsidR="00FC1C58" w:rsidRDefault="00FC1C58" w:rsidP="00FC1C58">
      <w:pPr>
        <w:pStyle w:val="Caption"/>
      </w:pPr>
    </w:p>
    <w:p w14:paraId="74B8C443" w14:textId="6AAF50CD" w:rsidR="00FC1C58" w:rsidRPr="00060DFF" w:rsidRDefault="00FC1C58" w:rsidP="00060DFF">
      <w:pPr>
        <w:rPr>
          <w:b/>
          <w:i/>
          <w:sz w:val="22"/>
          <w:szCs w:val="20"/>
        </w:rPr>
      </w:pPr>
      <w:r>
        <w:br w:type="page"/>
      </w:r>
      <w:r w:rsidRPr="00060DFF">
        <w:rPr>
          <w:b/>
          <w:i/>
          <w:sz w:val="22"/>
          <w:szCs w:val="20"/>
        </w:rPr>
        <w:lastRenderedPageBreak/>
        <w:t>TLED market share: Costs Continue to be a Barrier to Customer Purchase Decisions</w:t>
      </w:r>
    </w:p>
    <w:p w14:paraId="6F4E2A16" w14:textId="77777777" w:rsidR="00FC1C58" w:rsidRPr="0059303E" w:rsidRDefault="00FC1C58" w:rsidP="00FC1C58">
      <w:pPr>
        <w:rPr>
          <w:rFonts w:ascii="Arial" w:hAnsi="Arial" w:cs="Arial"/>
          <w:sz w:val="20"/>
          <w:szCs w:val="20"/>
        </w:rPr>
      </w:pPr>
      <w:r w:rsidRPr="0059303E">
        <w:rPr>
          <w:rFonts w:ascii="Arial" w:hAnsi="Arial" w:cs="Arial"/>
          <w:sz w:val="20"/>
          <w:szCs w:val="20"/>
        </w:rPr>
        <w:t xml:space="preserve">Customers who intend to upgrade their existing non-LED technologies to LED technology are faced with the two scenarios Navigant highlights, a full LED luminaire fixture/retrofit kit replacement or upgrading to TLEDs. Cost-sensitive customers may choose the less expensive TLED option; coupled with the data that indicates steady increases in TLED market penetration, PG&amp;E believes this should reasonably be included as part of the NR baseline scenario. </w:t>
      </w:r>
    </w:p>
    <w:p w14:paraId="24B16FA0" w14:textId="77777777" w:rsidR="00FC1C58" w:rsidRPr="0059303E" w:rsidRDefault="00FC1C58" w:rsidP="00FC1C58">
      <w:pPr>
        <w:rPr>
          <w:rFonts w:ascii="Arial" w:hAnsi="Arial" w:cs="Arial"/>
          <w:sz w:val="20"/>
          <w:szCs w:val="20"/>
        </w:rPr>
      </w:pPr>
      <w:bookmarkStart w:id="86" w:name="_Hlk533748921"/>
      <w:r w:rsidRPr="0059303E">
        <w:rPr>
          <w:rFonts w:ascii="Arial" w:hAnsi="Arial" w:cs="Arial"/>
          <w:sz w:val="20"/>
          <w:szCs w:val="20"/>
        </w:rPr>
        <w:t>Bonneville Power Administration (BPA) conducted a Non-Residential Lighting Market Characterization Study for the Pacific Northwest Region that indicated that LED sales continue to increase rapidly, accounting for 15% of all non-residential sales, with LED lamps and tubes representing the majority of the growth at 10% of total sales.</w:t>
      </w:r>
      <w:r w:rsidRPr="0059303E">
        <w:rPr>
          <w:rStyle w:val="EndnoteReference"/>
          <w:rFonts w:ascii="Arial" w:hAnsi="Arial" w:cs="Arial"/>
          <w:sz w:val="20"/>
          <w:szCs w:val="20"/>
        </w:rPr>
        <w:endnoteReference w:id="15"/>
      </w:r>
      <w:r w:rsidRPr="0059303E">
        <w:rPr>
          <w:rFonts w:ascii="Arial" w:hAnsi="Arial" w:cs="Arial"/>
          <w:sz w:val="20"/>
          <w:szCs w:val="20"/>
        </w:rPr>
        <w:t xml:space="preserve"> </w:t>
      </w:r>
      <w:bookmarkEnd w:id="86"/>
      <w:r w:rsidRPr="0059303E">
        <w:rPr>
          <w:rFonts w:ascii="Arial" w:hAnsi="Arial" w:cs="Arial"/>
          <w:sz w:val="20"/>
          <w:szCs w:val="20"/>
        </w:rPr>
        <w:t>There are two Statewide EM&amp;V studies that will help provide additional California-specific data to support this assumption:</w:t>
      </w:r>
    </w:p>
    <w:p w14:paraId="46141AAD" w14:textId="2B69A43D" w:rsidR="00FC1C58" w:rsidRPr="0059303E" w:rsidRDefault="00FC1C58" w:rsidP="00FC1C58">
      <w:pPr>
        <w:pStyle w:val="ListParagraph"/>
        <w:numPr>
          <w:ilvl w:val="0"/>
          <w:numId w:val="28"/>
        </w:numPr>
        <w:spacing w:after="200" w:line="276" w:lineRule="auto"/>
        <w:ind w:left="360"/>
        <w:rPr>
          <w:rFonts w:ascii="Arial" w:hAnsi="Arial" w:cs="Arial"/>
          <w:sz w:val="20"/>
          <w:szCs w:val="20"/>
        </w:rPr>
      </w:pPr>
      <w:r w:rsidRPr="0059303E">
        <w:rPr>
          <w:rFonts w:ascii="Arial" w:hAnsi="Arial" w:cs="Arial"/>
          <w:b/>
          <w:sz w:val="20"/>
          <w:szCs w:val="20"/>
        </w:rPr>
        <w:t xml:space="preserve">California Statewide Non-Residential LED Quality and Market Characterization Study: </w:t>
      </w:r>
      <w:r w:rsidRPr="0059303E">
        <w:rPr>
          <w:rFonts w:ascii="Arial" w:hAnsi="Arial" w:cs="Arial"/>
          <w:sz w:val="20"/>
          <w:szCs w:val="20"/>
        </w:rPr>
        <w:t>see Section</w:t>
      </w:r>
      <w:r w:rsidR="00B161C1">
        <w:rPr>
          <w:rFonts w:ascii="Arial" w:hAnsi="Arial" w:cs="Arial"/>
          <w:sz w:val="20"/>
          <w:szCs w:val="20"/>
        </w:rPr>
        <w:fldChar w:fldCharType="begin"/>
      </w:r>
      <w:r w:rsidR="00B161C1">
        <w:rPr>
          <w:rFonts w:ascii="Arial" w:hAnsi="Arial" w:cs="Arial"/>
          <w:sz w:val="20"/>
          <w:szCs w:val="20"/>
        </w:rPr>
        <w:instrText xml:space="preserve"> REF _Ref533708223 \h </w:instrText>
      </w:r>
      <w:r w:rsidR="00B161C1">
        <w:rPr>
          <w:rFonts w:ascii="Arial" w:hAnsi="Arial" w:cs="Arial"/>
          <w:sz w:val="20"/>
          <w:szCs w:val="20"/>
        </w:rPr>
      </w:r>
      <w:r w:rsidR="00B161C1">
        <w:rPr>
          <w:rFonts w:ascii="Arial" w:hAnsi="Arial" w:cs="Arial"/>
          <w:sz w:val="20"/>
          <w:szCs w:val="20"/>
        </w:rPr>
        <w:fldChar w:fldCharType="separate"/>
      </w:r>
      <w:r w:rsidR="00B161C1" w:rsidRPr="00BF592C">
        <w:t>1.5.</w:t>
      </w:r>
      <w:r w:rsidR="00B161C1">
        <w:t>4</w:t>
      </w:r>
      <w:r w:rsidR="00B161C1" w:rsidRPr="00BF592C">
        <w:t xml:space="preserve"> LED Non-Residential Lighting Market Characterization, Navigant – In Progress</w:t>
      </w:r>
      <w:r w:rsidR="00B161C1">
        <w:rPr>
          <w:rFonts w:ascii="Arial" w:hAnsi="Arial" w:cs="Arial"/>
          <w:sz w:val="20"/>
          <w:szCs w:val="20"/>
        </w:rPr>
        <w:fldChar w:fldCharType="end"/>
      </w:r>
      <w:r w:rsidRPr="0059303E">
        <w:rPr>
          <w:rFonts w:ascii="Arial" w:hAnsi="Arial" w:cs="Arial"/>
          <w:sz w:val="20"/>
          <w:szCs w:val="20"/>
        </w:rPr>
        <w:t>.</w:t>
      </w:r>
    </w:p>
    <w:p w14:paraId="0C50389D" w14:textId="14CD6244" w:rsidR="00FC1C58" w:rsidRPr="0059303E" w:rsidRDefault="00FC1C58" w:rsidP="00060DFF">
      <w:pPr>
        <w:pStyle w:val="ListParagraph"/>
        <w:numPr>
          <w:ilvl w:val="0"/>
          <w:numId w:val="28"/>
        </w:numPr>
        <w:spacing w:after="120" w:line="276" w:lineRule="auto"/>
        <w:ind w:left="360"/>
        <w:rPr>
          <w:rFonts w:ascii="Arial" w:hAnsi="Arial" w:cs="Arial"/>
          <w:sz w:val="22"/>
          <w:szCs w:val="22"/>
        </w:rPr>
      </w:pPr>
      <w:r w:rsidRPr="0059303E">
        <w:rPr>
          <w:rFonts w:ascii="Arial" w:hAnsi="Arial" w:cs="Arial"/>
          <w:b/>
          <w:sz w:val="20"/>
          <w:szCs w:val="20"/>
        </w:rPr>
        <w:t xml:space="preserve">Statewide Non-Residential Interior Lighting </w:t>
      </w:r>
      <w:r>
        <w:rPr>
          <w:rFonts w:ascii="Arial" w:hAnsi="Arial" w:cs="Arial"/>
          <w:b/>
          <w:sz w:val="20"/>
          <w:szCs w:val="20"/>
        </w:rPr>
        <w:t>Standard Practices</w:t>
      </w:r>
      <w:r w:rsidRPr="0059303E">
        <w:rPr>
          <w:rFonts w:ascii="Arial" w:hAnsi="Arial" w:cs="Arial"/>
          <w:b/>
          <w:sz w:val="20"/>
          <w:szCs w:val="20"/>
        </w:rPr>
        <w:t xml:space="preserve"> Study: </w:t>
      </w:r>
      <w:r w:rsidRPr="0059303E">
        <w:rPr>
          <w:rFonts w:ascii="Arial" w:hAnsi="Arial" w:cs="Arial"/>
          <w:sz w:val="20"/>
          <w:szCs w:val="20"/>
        </w:rPr>
        <w:t>This study is still in the scoping phases and addresses Commission Staff requests for more forward-looking baseline trends for baseline updates.</w:t>
      </w:r>
    </w:p>
    <w:p w14:paraId="7C98A9BC" w14:textId="77777777" w:rsidR="00FC1C58" w:rsidRPr="0059303E" w:rsidRDefault="00FC1C58" w:rsidP="00FC1C58">
      <w:pPr>
        <w:pStyle w:val="Heading4"/>
        <w:rPr>
          <w:b/>
          <w:color w:val="auto"/>
          <w:sz w:val="22"/>
        </w:rPr>
      </w:pPr>
      <w:r w:rsidRPr="0059303E">
        <w:rPr>
          <w:b/>
          <w:color w:val="auto"/>
          <w:sz w:val="22"/>
        </w:rPr>
        <w:t>Proposed Blended Baseline Mix: 100% LED Technology based upon full LED luminaire fixtures/retrofit kits + TLEDs</w:t>
      </w:r>
    </w:p>
    <w:p w14:paraId="07B4952D" w14:textId="08FD0C0A" w:rsidR="00FC1C58" w:rsidRPr="0059303E" w:rsidRDefault="00FC1C58" w:rsidP="00FC1C58">
      <w:pPr>
        <w:rPr>
          <w:rFonts w:ascii="Arial" w:hAnsi="Arial" w:cs="Arial"/>
          <w:sz w:val="20"/>
          <w:szCs w:val="22"/>
        </w:rPr>
      </w:pPr>
      <w:r w:rsidRPr="0059303E">
        <w:rPr>
          <w:rFonts w:ascii="Arial" w:hAnsi="Arial" w:cs="Arial"/>
          <w:sz w:val="20"/>
          <w:szCs w:val="22"/>
        </w:rPr>
        <w:t>For PGECOLTG17</w:t>
      </w:r>
      <w:r w:rsidR="00B161C1">
        <w:rPr>
          <w:rFonts w:ascii="Arial" w:hAnsi="Arial" w:cs="Arial"/>
          <w:sz w:val="20"/>
          <w:szCs w:val="22"/>
        </w:rPr>
        <w:t>8</w:t>
      </w:r>
      <w:r w:rsidRPr="0059303E">
        <w:rPr>
          <w:rFonts w:ascii="Arial" w:hAnsi="Arial" w:cs="Arial"/>
          <w:sz w:val="20"/>
          <w:szCs w:val="22"/>
        </w:rPr>
        <w:t xml:space="preserve">, DEER2019 </w:t>
      </w:r>
      <w:r w:rsidR="00B161C1">
        <w:rPr>
          <w:rFonts w:ascii="Arial" w:hAnsi="Arial" w:cs="Arial"/>
          <w:sz w:val="20"/>
          <w:szCs w:val="22"/>
        </w:rPr>
        <w:t>continues the approved</w:t>
      </w:r>
      <w:r w:rsidRPr="0059303E">
        <w:rPr>
          <w:rFonts w:ascii="Arial" w:hAnsi="Arial" w:cs="Arial"/>
          <w:sz w:val="20"/>
          <w:szCs w:val="22"/>
        </w:rPr>
        <w:t xml:space="preserve"> baseline </w:t>
      </w:r>
      <w:r w:rsidR="00B161C1">
        <w:rPr>
          <w:rFonts w:ascii="Arial" w:hAnsi="Arial" w:cs="Arial"/>
          <w:sz w:val="20"/>
          <w:szCs w:val="22"/>
        </w:rPr>
        <w:t xml:space="preserve">of up to 20% linear fluorescent and 80% LED </w:t>
      </w:r>
      <w:r w:rsidRPr="0059303E">
        <w:rPr>
          <w:rFonts w:ascii="Arial" w:hAnsi="Arial" w:cs="Arial"/>
          <w:sz w:val="20"/>
          <w:szCs w:val="22"/>
        </w:rPr>
        <w:t xml:space="preserve">technologies. PG&amp;E proposes </w:t>
      </w:r>
      <w:r w:rsidR="00B161C1">
        <w:rPr>
          <w:rFonts w:ascii="Arial" w:hAnsi="Arial" w:cs="Arial"/>
          <w:sz w:val="20"/>
          <w:szCs w:val="22"/>
        </w:rPr>
        <w:t xml:space="preserve">that this 80% LED be divided into </w:t>
      </w:r>
      <w:r w:rsidRPr="0059303E">
        <w:rPr>
          <w:rFonts w:ascii="Arial" w:hAnsi="Arial" w:cs="Arial"/>
          <w:sz w:val="20"/>
          <w:szCs w:val="22"/>
        </w:rPr>
        <w:t xml:space="preserve">a blend of </w:t>
      </w:r>
      <w:r w:rsidR="00B161C1">
        <w:rPr>
          <w:rFonts w:ascii="Arial" w:hAnsi="Arial" w:cs="Arial"/>
          <w:sz w:val="20"/>
          <w:szCs w:val="22"/>
        </w:rPr>
        <w:t xml:space="preserve">up to 20% </w:t>
      </w:r>
      <w:r w:rsidRPr="0059303E">
        <w:rPr>
          <w:rFonts w:ascii="Arial" w:hAnsi="Arial" w:cs="Arial"/>
          <w:sz w:val="20"/>
          <w:szCs w:val="22"/>
        </w:rPr>
        <w:t xml:space="preserve">TLEDs and </w:t>
      </w:r>
      <w:r w:rsidR="00B161C1">
        <w:rPr>
          <w:rFonts w:ascii="Arial" w:hAnsi="Arial" w:cs="Arial"/>
          <w:sz w:val="20"/>
          <w:szCs w:val="22"/>
        </w:rPr>
        <w:t xml:space="preserve">80% </w:t>
      </w:r>
      <w:r w:rsidRPr="0059303E">
        <w:rPr>
          <w:rFonts w:ascii="Arial" w:hAnsi="Arial" w:cs="Arial"/>
          <w:sz w:val="20"/>
          <w:szCs w:val="22"/>
        </w:rPr>
        <w:t>new LED luminaires and retrofit kits for the LED technology base case.</w:t>
      </w:r>
    </w:p>
    <w:p w14:paraId="35CB86D6" w14:textId="77777777" w:rsidR="00FC1C58" w:rsidRPr="0059303E" w:rsidRDefault="00FC1C58" w:rsidP="00FC1C58">
      <w:pPr>
        <w:keepNext/>
        <w:rPr>
          <w:rFonts w:ascii="Arial" w:hAnsi="Arial" w:cs="Arial"/>
          <w:noProof/>
          <w:sz w:val="22"/>
          <w:szCs w:val="22"/>
        </w:rPr>
      </w:pPr>
      <w:r w:rsidRPr="0059303E">
        <w:rPr>
          <w:rFonts w:ascii="Arial" w:hAnsi="Arial" w:cs="Arial"/>
          <w:noProof/>
          <w:sz w:val="20"/>
          <w:szCs w:val="22"/>
        </w:rPr>
        <w:t xml:space="preserve">Figure 4 below illustrates the proposed workpaper methodology adding TLEDs to the baseline scenario as part of a blended baseline. </w:t>
      </w:r>
    </w:p>
    <w:p w14:paraId="4612D147" w14:textId="77777777" w:rsidR="00FC1C58" w:rsidRDefault="00FC1C58" w:rsidP="00FC1C58">
      <w:pPr>
        <w:pStyle w:val="Caption"/>
      </w:pPr>
    </w:p>
    <w:p w14:paraId="5AF376EB" w14:textId="77777777" w:rsidR="00FC1C58" w:rsidRPr="00060DFF" w:rsidRDefault="00FC1C58" w:rsidP="00FC1C58">
      <w:pPr>
        <w:pStyle w:val="Heading4"/>
        <w:rPr>
          <w:b/>
          <w:color w:val="auto"/>
          <w:sz w:val="22"/>
          <w:szCs w:val="22"/>
        </w:rPr>
      </w:pPr>
      <w:r w:rsidRPr="00060DFF">
        <w:rPr>
          <w:b/>
          <w:color w:val="auto"/>
          <w:sz w:val="22"/>
          <w:szCs w:val="22"/>
        </w:rPr>
        <w:t>History of Blended Baseline Approach Development</w:t>
      </w:r>
    </w:p>
    <w:p w14:paraId="49260550" w14:textId="77777777" w:rsidR="00FC1C58" w:rsidRPr="0059303E" w:rsidRDefault="00FC1C58" w:rsidP="00FC1C58">
      <w:pPr>
        <w:rPr>
          <w:rFonts w:ascii="Arial" w:hAnsi="Arial" w:cs="Arial"/>
          <w:sz w:val="20"/>
          <w:szCs w:val="20"/>
        </w:rPr>
      </w:pPr>
      <w:r w:rsidRPr="0059303E">
        <w:rPr>
          <w:rFonts w:ascii="Arial" w:hAnsi="Arial" w:cs="Arial"/>
          <w:sz w:val="20"/>
          <w:szCs w:val="20"/>
        </w:rPr>
        <w:t>PG&amp;E’s early 2018 research and communications with the CPUC EX-Ante Review Team noted challenges with negative IMC values as baseline technologies shift to LED - the same technology as the measure case.</w:t>
      </w:r>
      <w:r w:rsidRPr="0059303E">
        <w:rPr>
          <w:rStyle w:val="EndnoteReference"/>
          <w:rFonts w:ascii="Arial" w:hAnsi="Arial" w:cs="Arial"/>
          <w:sz w:val="20"/>
          <w:szCs w:val="20"/>
        </w:rPr>
        <w:endnoteReference w:id="16"/>
      </w:r>
      <w:r w:rsidRPr="0059303E">
        <w:rPr>
          <w:rFonts w:ascii="Arial" w:hAnsi="Arial" w:cs="Arial"/>
          <w:sz w:val="20"/>
          <w:szCs w:val="20"/>
        </w:rPr>
        <w:t xml:space="preserve"> </w:t>
      </w:r>
    </w:p>
    <w:p w14:paraId="52A6B623" w14:textId="77777777" w:rsidR="00FC1C58" w:rsidRPr="0059303E" w:rsidRDefault="00FC1C58" w:rsidP="00FC1C58">
      <w:pPr>
        <w:rPr>
          <w:rFonts w:ascii="Arial" w:hAnsi="Arial" w:cs="Arial"/>
          <w:sz w:val="20"/>
          <w:szCs w:val="22"/>
        </w:rPr>
      </w:pPr>
      <w:r w:rsidRPr="0059303E">
        <w:rPr>
          <w:rFonts w:ascii="Arial" w:hAnsi="Arial" w:cs="Arial"/>
          <w:sz w:val="20"/>
          <w:szCs w:val="20"/>
        </w:rPr>
        <w:t xml:space="preserve">The EAR team expressed that they did not want PG&amp;E to eliminate measure codes or categories solely due to the cost issue recognizing the market barriers to LED fixture adoption still exist. Multiple meetings were then conducted between the EAR team and PG&amp;E from </w:t>
      </w:r>
      <w:r w:rsidRPr="0059303E">
        <w:rPr>
          <w:rFonts w:ascii="Arial" w:hAnsi="Arial" w:cs="Arial"/>
          <w:sz w:val="20"/>
          <w:szCs w:val="22"/>
        </w:rPr>
        <w:t>March to April to try to resolve the</w:t>
      </w:r>
      <w:r w:rsidRPr="0059303E">
        <w:rPr>
          <w:rFonts w:ascii="Arial" w:hAnsi="Arial" w:cs="Arial"/>
          <w:sz w:val="22"/>
          <w:szCs w:val="22"/>
        </w:rPr>
        <w:t xml:space="preserve"> </w:t>
      </w:r>
      <w:r w:rsidRPr="0059303E">
        <w:rPr>
          <w:rFonts w:ascii="Arial" w:hAnsi="Arial" w:cs="Arial"/>
          <w:sz w:val="20"/>
          <w:szCs w:val="22"/>
        </w:rPr>
        <w:t>negative IMC issue. In late April, the EAR team accepted PG&amp;E’s proposal of setting IMC at 110% of the rebate values as an interim solution to the issue. On May 7, 2018, Commission staff issued the two dispositions for PGECOLTG151 &amp; PGECOLTG178 approving the interim solutions, with direction for PG&amp;E to continue with cost research for inclusion in the next revision to the workpaper. PG&amp;E’s recent research conducted with TRC in September/October reveals the continuation of the negative IMC issue.</w:t>
      </w:r>
    </w:p>
    <w:p w14:paraId="60A64204" w14:textId="77777777" w:rsidR="00FC1C58" w:rsidRPr="0059303E" w:rsidRDefault="00FC1C58" w:rsidP="00FC1C58">
      <w:pPr>
        <w:rPr>
          <w:rFonts w:ascii="Arial" w:hAnsi="Arial" w:cs="Arial"/>
          <w:sz w:val="20"/>
          <w:szCs w:val="22"/>
        </w:rPr>
      </w:pPr>
      <w:r w:rsidRPr="0059303E">
        <w:rPr>
          <w:rFonts w:ascii="Arial" w:hAnsi="Arial" w:cs="Arial"/>
          <w:sz w:val="20"/>
          <w:szCs w:val="22"/>
        </w:rPr>
        <w:t>In conversations with the Ex Ante Review (EAR) Team from April 4, 2018 &amp; April 5, 2018, in development of the interim solution workpaper for LED High-Bay and Low-Bay fixtures, the EAR team acknowledged TLED popularity in the market and alluded to PG&amp;E considering adding TLEDs to its baseline mix for fixtures that have had fluorescent T8s in their baseline history.</w:t>
      </w:r>
      <w:r w:rsidRPr="0059303E">
        <w:rPr>
          <w:rStyle w:val="EndnoteReference"/>
          <w:rFonts w:ascii="Arial" w:hAnsi="Arial" w:cs="Arial"/>
          <w:sz w:val="20"/>
          <w:szCs w:val="22"/>
        </w:rPr>
        <w:endnoteReference w:id="17"/>
      </w:r>
    </w:p>
    <w:p w14:paraId="2BB12B66" w14:textId="70894501" w:rsidR="00FC1C58" w:rsidRPr="0059303E" w:rsidRDefault="00FC1C58" w:rsidP="00F63E46">
      <w:pPr>
        <w:spacing w:before="80"/>
        <w:rPr>
          <w:rFonts w:ascii="Arial" w:hAnsi="Arial" w:cs="Arial"/>
          <w:sz w:val="20"/>
          <w:szCs w:val="22"/>
        </w:rPr>
      </w:pPr>
      <w:r w:rsidRPr="0059303E">
        <w:rPr>
          <w:rFonts w:ascii="Arial" w:hAnsi="Arial" w:cs="Arial"/>
          <w:sz w:val="20"/>
          <w:szCs w:val="22"/>
        </w:rPr>
        <w:t xml:space="preserve">As such, PG&amp;E is proposing to add linear LED replacement lamps to its baseline technology mix for </w:t>
      </w:r>
      <w:r>
        <w:rPr>
          <w:rFonts w:ascii="Arial" w:hAnsi="Arial" w:cs="Arial"/>
          <w:sz w:val="20"/>
          <w:szCs w:val="22"/>
        </w:rPr>
        <w:t>this lighting workpaper as well</w:t>
      </w:r>
      <w:r w:rsidRPr="0059303E">
        <w:rPr>
          <w:rFonts w:ascii="Arial" w:hAnsi="Arial" w:cs="Arial"/>
          <w:sz w:val="20"/>
          <w:szCs w:val="22"/>
        </w:rPr>
        <w:t>.</w:t>
      </w:r>
    </w:p>
    <w:p w14:paraId="5EA27CBF" w14:textId="2401398A" w:rsidR="00FC1C58" w:rsidRDefault="00FC1C58" w:rsidP="0059303E">
      <w:pPr>
        <w:pStyle w:val="Heading3"/>
      </w:pPr>
      <w:bookmarkStart w:id="87" w:name="_Hlk533695948"/>
      <w:bookmarkStart w:id="88" w:name="_Toc2804910"/>
      <w:r>
        <w:t>1.5.</w:t>
      </w:r>
      <w:r w:rsidR="00BA25CB">
        <w:t>6</w:t>
      </w:r>
      <w:r>
        <w:t xml:space="preserve"> </w:t>
      </w:r>
      <w:proofErr w:type="spellStart"/>
      <w:r>
        <w:t>CALiPER</w:t>
      </w:r>
      <w:proofErr w:type="spellEnd"/>
      <w:r>
        <w:t xml:space="preserve"> Snapshot Report June 17, 2016:</w:t>
      </w:r>
      <w:r>
        <w:rPr>
          <w:rStyle w:val="EndnoteReference"/>
          <w:sz w:val="20"/>
          <w:szCs w:val="20"/>
        </w:rPr>
        <w:endnoteReference w:id="18"/>
      </w:r>
      <w:bookmarkEnd w:id="88"/>
    </w:p>
    <w:p w14:paraId="1A98A705" w14:textId="4E64F173" w:rsidR="00FC1C58" w:rsidRPr="0059303E" w:rsidRDefault="00467ED3" w:rsidP="0059303E">
      <w:pPr>
        <w:ind w:left="360"/>
        <w:rPr>
          <w:rFonts w:ascii="Arial" w:hAnsi="Arial" w:cs="Arial"/>
          <w:sz w:val="20"/>
          <w:szCs w:val="20"/>
        </w:rPr>
      </w:pPr>
      <w:r>
        <w:rPr>
          <w:rFonts w:ascii="Arial" w:hAnsi="Arial" w:cs="Arial"/>
          <w:sz w:val="20"/>
          <w:szCs w:val="20"/>
        </w:rPr>
        <w:t>Result</w:t>
      </w:r>
      <w:r w:rsidR="00FC1C58" w:rsidRPr="0059303E">
        <w:rPr>
          <w:rFonts w:ascii="Arial" w:hAnsi="Arial" w:cs="Arial"/>
          <w:sz w:val="20"/>
          <w:szCs w:val="20"/>
        </w:rPr>
        <w:t xml:space="preserve">s that </w:t>
      </w:r>
      <w:proofErr w:type="spellStart"/>
      <w:r w:rsidR="00FC1C58" w:rsidRPr="0059303E">
        <w:rPr>
          <w:rFonts w:ascii="Arial" w:hAnsi="Arial" w:cs="Arial"/>
          <w:sz w:val="20"/>
          <w:szCs w:val="20"/>
        </w:rPr>
        <w:t>CALiPER</w:t>
      </w:r>
      <w:proofErr w:type="spellEnd"/>
      <w:r w:rsidR="00FC1C58" w:rsidRPr="0059303E">
        <w:rPr>
          <w:rFonts w:ascii="Arial" w:hAnsi="Arial" w:cs="Arial"/>
          <w:sz w:val="20"/>
          <w:szCs w:val="20"/>
        </w:rPr>
        <w:t xml:space="preserve"> reported in its most recent snapshot report </w:t>
      </w:r>
      <w:r w:rsidR="00FC1C58">
        <w:rPr>
          <w:rFonts w:ascii="Arial" w:hAnsi="Arial" w:cs="Arial"/>
          <w:sz w:val="20"/>
          <w:szCs w:val="20"/>
        </w:rPr>
        <w:t>on TLEDs</w:t>
      </w:r>
      <w:r w:rsidR="00FC1C58" w:rsidRPr="0059303E">
        <w:rPr>
          <w:rFonts w:ascii="Arial" w:hAnsi="Arial" w:cs="Arial"/>
          <w:sz w:val="20"/>
          <w:szCs w:val="20"/>
        </w:rPr>
        <w:t>:</w:t>
      </w:r>
    </w:p>
    <w:p w14:paraId="6D4C396A" w14:textId="32CC4A05" w:rsidR="00FC1C58" w:rsidRPr="000D14B0" w:rsidRDefault="00FC1C58" w:rsidP="00FC1C58">
      <w:pPr>
        <w:pStyle w:val="ListParagraph"/>
        <w:numPr>
          <w:ilvl w:val="0"/>
          <w:numId w:val="27"/>
        </w:numPr>
        <w:spacing w:after="120" w:line="264" w:lineRule="auto"/>
        <w:rPr>
          <w:rFonts w:ascii="Arial" w:hAnsi="Arial" w:cs="Arial"/>
          <w:sz w:val="20"/>
          <w:szCs w:val="20"/>
        </w:rPr>
      </w:pPr>
      <w:r>
        <w:rPr>
          <w:rFonts w:ascii="Arial" w:hAnsi="Arial" w:cs="Arial"/>
          <w:sz w:val="20"/>
          <w:szCs w:val="20"/>
        </w:rPr>
        <w:t>O</w:t>
      </w:r>
      <w:r w:rsidRPr="000D14B0">
        <w:rPr>
          <w:rFonts w:ascii="Arial" w:hAnsi="Arial" w:cs="Arial"/>
          <w:sz w:val="20"/>
          <w:szCs w:val="20"/>
        </w:rPr>
        <w:t xml:space="preserve">ver 90% of the currently listed TLEDs exceed 100 lm/W, which is roughly the efficacy of a bare linear fluorescent lamp, </w:t>
      </w:r>
      <w:r w:rsidR="00467ED3">
        <w:rPr>
          <w:rFonts w:ascii="Arial" w:hAnsi="Arial" w:cs="Arial"/>
          <w:sz w:val="20"/>
          <w:szCs w:val="20"/>
        </w:rPr>
        <w:t>which is close</w:t>
      </w:r>
      <w:r w:rsidRPr="000D14B0">
        <w:rPr>
          <w:rFonts w:ascii="Arial" w:hAnsi="Arial" w:cs="Arial"/>
          <w:sz w:val="20"/>
          <w:szCs w:val="20"/>
        </w:rPr>
        <w:t xml:space="preserve"> to the qualification threshold for the </w:t>
      </w:r>
      <w:proofErr w:type="spellStart"/>
      <w:r w:rsidRPr="000D14B0">
        <w:rPr>
          <w:rFonts w:ascii="Arial" w:hAnsi="Arial" w:cs="Arial"/>
          <w:sz w:val="20"/>
          <w:szCs w:val="20"/>
        </w:rPr>
        <w:t>DesignLights</w:t>
      </w:r>
      <w:proofErr w:type="spellEnd"/>
      <w:r w:rsidRPr="000D14B0">
        <w:rPr>
          <w:rFonts w:ascii="Arial" w:hAnsi="Arial" w:cs="Arial"/>
          <w:sz w:val="20"/>
          <w:szCs w:val="20"/>
        </w:rPr>
        <w:t xml:space="preserve"> Consortium™ </w:t>
      </w:r>
      <w:r w:rsidR="002A2A5A">
        <w:rPr>
          <w:rFonts w:ascii="Arial" w:hAnsi="Arial" w:cs="Arial"/>
          <w:sz w:val="20"/>
          <w:szCs w:val="20"/>
        </w:rPr>
        <w:t>Product</w:t>
      </w:r>
      <w:r w:rsidRPr="000D14B0">
        <w:rPr>
          <w:rFonts w:ascii="Arial" w:hAnsi="Arial" w:cs="Arial"/>
          <w:sz w:val="20"/>
          <w:szCs w:val="20"/>
        </w:rPr>
        <w:t xml:space="preserve"> List </w:t>
      </w:r>
      <w:proofErr w:type="gramStart"/>
      <w:r w:rsidRPr="000D14B0">
        <w:rPr>
          <w:rFonts w:ascii="Arial" w:hAnsi="Arial" w:cs="Arial"/>
          <w:sz w:val="20"/>
          <w:szCs w:val="20"/>
        </w:rPr>
        <w:t>of 110 lm/W.</w:t>
      </w:r>
      <w:proofErr w:type="gramEnd"/>
      <w:r w:rsidRPr="000D14B0">
        <w:rPr>
          <w:rFonts w:ascii="Arial" w:hAnsi="Arial" w:cs="Arial"/>
          <w:sz w:val="20"/>
          <w:szCs w:val="20"/>
        </w:rPr>
        <w:t xml:space="preserve">  In the broad </w:t>
      </w:r>
      <w:proofErr w:type="spellStart"/>
      <w:r w:rsidRPr="000D14B0">
        <w:rPr>
          <w:rFonts w:ascii="Arial" w:hAnsi="Arial" w:cs="Arial"/>
          <w:sz w:val="20"/>
          <w:szCs w:val="20"/>
        </w:rPr>
        <w:t>LightingFacts</w:t>
      </w:r>
      <w:proofErr w:type="spellEnd"/>
      <w:r w:rsidRPr="000D14B0">
        <w:rPr>
          <w:rFonts w:ascii="Arial" w:hAnsi="Arial" w:cs="Arial"/>
          <w:sz w:val="20"/>
          <w:szCs w:val="20"/>
        </w:rPr>
        <w:t xml:space="preserve"> database, both LED troffer retrofit kits and LED troffer luminaires tend to have lower efficacies compared to bare TLEDs, but </w:t>
      </w:r>
      <w:r w:rsidRPr="000D14B0">
        <w:rPr>
          <w:rFonts w:ascii="Arial" w:hAnsi="Arial" w:cs="Arial"/>
          <w:sz w:val="20"/>
          <w:szCs w:val="20"/>
        </w:rPr>
        <w:lastRenderedPageBreak/>
        <w:t>when luminaire efficiency is considered, the retrofit kits and troffers are comparable to the high end of TLED efficacy.</w:t>
      </w:r>
    </w:p>
    <w:p w14:paraId="2043861B" w14:textId="403A844D" w:rsidR="00FC1C58" w:rsidRPr="000D14B0" w:rsidRDefault="00FC1C58" w:rsidP="00FC1C58">
      <w:pPr>
        <w:pStyle w:val="ListParagraph"/>
        <w:numPr>
          <w:ilvl w:val="0"/>
          <w:numId w:val="27"/>
        </w:numPr>
        <w:spacing w:after="120" w:line="264" w:lineRule="auto"/>
        <w:rPr>
          <w:rFonts w:ascii="Arial" w:hAnsi="Arial" w:cs="Arial"/>
          <w:sz w:val="20"/>
          <w:szCs w:val="20"/>
        </w:rPr>
      </w:pPr>
      <w:r w:rsidRPr="000D14B0">
        <w:rPr>
          <w:rFonts w:ascii="Arial" w:hAnsi="Arial" w:cs="Arial"/>
          <w:sz w:val="20"/>
          <w:szCs w:val="20"/>
        </w:rPr>
        <w:t>When evaluating TLEDs, it</w:t>
      </w:r>
      <w:r w:rsidR="00467ED3">
        <w:rPr>
          <w:rFonts w:ascii="Arial" w:hAnsi="Arial" w:cs="Arial"/>
          <w:sz w:val="20"/>
          <w:szCs w:val="20"/>
        </w:rPr>
        <w:t xml:space="preserve"> is</w:t>
      </w:r>
      <w:r w:rsidRPr="000D14B0">
        <w:rPr>
          <w:rFonts w:ascii="Arial" w:hAnsi="Arial" w:cs="Arial"/>
          <w:sz w:val="20"/>
          <w:szCs w:val="20"/>
        </w:rPr>
        <w:t xml:space="preserve"> important to consider their efficacy when installed in a luminaire. As the number of lamps increases, the luminaire efficiency is slightly reduced.  In order to appropriately compare the efficacy of TLEDs to that of other LED luminaires, this workpaper uses </w:t>
      </w:r>
      <w:r w:rsidRPr="00467ED3">
        <w:rPr>
          <w:rFonts w:ascii="Arial" w:hAnsi="Arial" w:cs="Arial"/>
          <w:sz w:val="20"/>
          <w:szCs w:val="20"/>
        </w:rPr>
        <w:t>a fixture efficiency multiplier of 0.8 to represent the luminous efficiency of the luminaire, per this</w:t>
      </w:r>
      <w:r>
        <w:rPr>
          <w:rFonts w:ascii="Arial" w:hAnsi="Arial" w:cs="Arial"/>
          <w:sz w:val="20"/>
          <w:szCs w:val="20"/>
        </w:rPr>
        <w:t xml:space="preserve"> </w:t>
      </w:r>
      <w:proofErr w:type="spellStart"/>
      <w:r>
        <w:rPr>
          <w:rFonts w:ascii="Arial" w:hAnsi="Arial" w:cs="Arial"/>
          <w:sz w:val="20"/>
          <w:szCs w:val="20"/>
        </w:rPr>
        <w:t>CALiPER</w:t>
      </w:r>
      <w:proofErr w:type="spellEnd"/>
      <w:r>
        <w:rPr>
          <w:rFonts w:ascii="Arial" w:hAnsi="Arial" w:cs="Arial"/>
          <w:sz w:val="20"/>
          <w:szCs w:val="20"/>
        </w:rPr>
        <w:t xml:space="preserve"> report from the DOE.</w:t>
      </w:r>
    </w:p>
    <w:p w14:paraId="708E7BFB" w14:textId="5AA27E79" w:rsidR="00F63E46" w:rsidRDefault="00313394" w:rsidP="0059303E">
      <w:pPr>
        <w:spacing w:line="264" w:lineRule="auto"/>
        <w:rPr>
          <w:rFonts w:ascii="Arial" w:hAnsi="Arial" w:cs="Arial"/>
          <w:sz w:val="20"/>
          <w:szCs w:val="20"/>
        </w:rPr>
      </w:pPr>
      <w:r w:rsidRPr="00313394">
        <w:rPr>
          <w:rFonts w:ascii="Arial" w:hAnsi="Arial" w:cs="Arial"/>
          <w:sz w:val="20"/>
          <w:szCs w:val="20"/>
        </w:rPr>
        <w:t xml:space="preserve">Based on the recent data collected in February 2019, the 25th percentile of the TLED efficacy is </w:t>
      </w:r>
      <w:r w:rsidR="00F63E46">
        <w:rPr>
          <w:rFonts w:ascii="Arial" w:hAnsi="Arial" w:cs="Arial"/>
          <w:sz w:val="20"/>
          <w:szCs w:val="20"/>
        </w:rPr>
        <w:t xml:space="preserve">determined to be </w:t>
      </w:r>
      <w:proofErr w:type="gramStart"/>
      <w:r w:rsidRPr="00313394">
        <w:rPr>
          <w:rFonts w:ascii="Arial" w:hAnsi="Arial" w:cs="Arial"/>
          <w:sz w:val="20"/>
          <w:szCs w:val="20"/>
        </w:rPr>
        <w:t>111 lm/W</w:t>
      </w:r>
      <w:proofErr w:type="gramEnd"/>
      <w:r w:rsidRPr="00313394">
        <w:rPr>
          <w:rFonts w:ascii="Arial" w:hAnsi="Arial" w:cs="Arial"/>
          <w:sz w:val="20"/>
          <w:szCs w:val="20"/>
        </w:rPr>
        <w:t xml:space="preserve"> and </w:t>
      </w:r>
      <w:r w:rsidR="00F63E46">
        <w:rPr>
          <w:rFonts w:ascii="Arial" w:hAnsi="Arial" w:cs="Arial"/>
          <w:sz w:val="20"/>
          <w:szCs w:val="20"/>
        </w:rPr>
        <w:t xml:space="preserve">is </w:t>
      </w:r>
      <w:r w:rsidRPr="00313394">
        <w:rPr>
          <w:rFonts w:ascii="Arial" w:hAnsi="Arial" w:cs="Arial"/>
          <w:sz w:val="20"/>
          <w:szCs w:val="20"/>
        </w:rPr>
        <w:t>adopted for this workpaper revision.</w:t>
      </w:r>
      <w:r w:rsidR="00F63E46">
        <w:rPr>
          <w:rFonts w:ascii="Arial" w:hAnsi="Arial" w:cs="Arial"/>
          <w:sz w:val="20"/>
          <w:szCs w:val="20"/>
        </w:rPr>
        <w:t xml:space="preserve"> See attached file </w:t>
      </w:r>
      <w:r w:rsidR="00F63E46">
        <w:rPr>
          <w:rFonts w:ascii="Arial" w:hAnsi="Arial" w:cs="Arial"/>
          <w:sz w:val="20"/>
        </w:rPr>
        <w:t>“</w:t>
      </w:r>
      <w:r w:rsidR="00F63E46" w:rsidRPr="00DA6E11">
        <w:rPr>
          <w:rFonts w:ascii="Arial" w:hAnsi="Arial" w:cs="Arial"/>
          <w:sz w:val="20"/>
        </w:rPr>
        <w:t>Copy of TLED Cost Data_FEB2019</w:t>
      </w:r>
      <w:r w:rsidR="00F63E46">
        <w:rPr>
          <w:rFonts w:ascii="Arial" w:hAnsi="Arial" w:cs="Arial"/>
          <w:sz w:val="20"/>
        </w:rPr>
        <w:t>.xlsx” for the collected data and the calculation of the TLED efficacy.</w:t>
      </w:r>
    </w:p>
    <w:p w14:paraId="642204C4" w14:textId="253730D0" w:rsidR="00FC1C58" w:rsidRDefault="00FC1C58" w:rsidP="0059303E">
      <w:pPr>
        <w:spacing w:line="264" w:lineRule="auto"/>
        <w:rPr>
          <w:rFonts w:ascii="Arial" w:hAnsi="Arial" w:cs="Arial"/>
          <w:sz w:val="20"/>
          <w:szCs w:val="20"/>
        </w:rPr>
      </w:pPr>
      <w:r w:rsidRPr="0059303E">
        <w:rPr>
          <w:rFonts w:ascii="Arial" w:hAnsi="Arial" w:cs="Arial"/>
          <w:sz w:val="20"/>
          <w:szCs w:val="20"/>
        </w:rPr>
        <w:t xml:space="preserve">In addition, many TLEDs operate with </w:t>
      </w:r>
      <w:r w:rsidR="002A2A5A">
        <w:rPr>
          <w:rFonts w:ascii="Arial" w:hAnsi="Arial" w:cs="Arial"/>
          <w:sz w:val="20"/>
          <w:szCs w:val="20"/>
        </w:rPr>
        <w:t>pre-</w:t>
      </w:r>
      <w:r w:rsidRPr="0059303E">
        <w:rPr>
          <w:rFonts w:ascii="Arial" w:hAnsi="Arial" w:cs="Arial"/>
          <w:sz w:val="20"/>
          <w:szCs w:val="20"/>
        </w:rPr>
        <w:t>existing fluorescent ballast</w:t>
      </w:r>
      <w:r w:rsidR="002A2A5A">
        <w:rPr>
          <w:rFonts w:ascii="Arial" w:hAnsi="Arial" w:cs="Arial"/>
          <w:sz w:val="20"/>
          <w:szCs w:val="20"/>
        </w:rPr>
        <w:t>s</w:t>
      </w:r>
      <w:r w:rsidRPr="0059303E">
        <w:rPr>
          <w:rFonts w:ascii="Arial" w:hAnsi="Arial" w:cs="Arial"/>
          <w:sz w:val="20"/>
          <w:szCs w:val="20"/>
        </w:rPr>
        <w:t xml:space="preserve">, which increases wattage. </w:t>
      </w:r>
      <w:proofErr w:type="spellStart"/>
      <w:r>
        <w:rPr>
          <w:rFonts w:ascii="Arial" w:hAnsi="Arial" w:cs="Arial"/>
          <w:sz w:val="20"/>
          <w:szCs w:val="20"/>
        </w:rPr>
        <w:t>CALiPER</w:t>
      </w:r>
      <w:proofErr w:type="spellEnd"/>
      <w:r>
        <w:rPr>
          <w:rFonts w:ascii="Arial" w:hAnsi="Arial" w:cs="Arial"/>
          <w:sz w:val="20"/>
          <w:szCs w:val="20"/>
        </w:rPr>
        <w:t xml:space="preserve"> does not address the percentage of TLEDs operating with fluorescent ballast</w:t>
      </w:r>
      <w:r w:rsidR="00225583">
        <w:rPr>
          <w:rFonts w:ascii="Arial" w:hAnsi="Arial" w:cs="Arial"/>
          <w:sz w:val="20"/>
          <w:szCs w:val="20"/>
        </w:rPr>
        <w:t>s</w:t>
      </w:r>
      <w:r>
        <w:rPr>
          <w:rFonts w:ascii="Arial" w:hAnsi="Arial" w:cs="Arial"/>
          <w:sz w:val="20"/>
          <w:szCs w:val="20"/>
        </w:rPr>
        <w:t xml:space="preserve">. </w:t>
      </w:r>
      <w:r w:rsidRPr="0059303E">
        <w:rPr>
          <w:rFonts w:ascii="Arial" w:hAnsi="Arial" w:cs="Arial"/>
          <w:sz w:val="20"/>
          <w:szCs w:val="20"/>
        </w:rPr>
        <w:t>Anecdotal market evidence suggests the plug-and-play, Type A, approach to TLEDs is the most popular, with no electrician requirement to plug in new lamps; this is also the most inefficient strategy because it leaves the fluorescent ballast powered. Without a thorough study available on TLED trends, the work paper assumes a conservative 40.4% of TLEDs operate with fluorescent ballasts, based on the percentage of the DLC listed TLEDs that are Type A. Fluorescent ballasts are assumed to consume 10% of system power, based on federal fluorescent ballast luminous efficiency standards</w:t>
      </w:r>
      <w:r>
        <w:rPr>
          <w:rFonts w:ascii="Arial" w:hAnsi="Arial" w:cs="Arial"/>
          <w:sz w:val="20"/>
          <w:szCs w:val="20"/>
        </w:rPr>
        <w:t xml:space="preserve"> cited above in section 1.5.2</w:t>
      </w:r>
      <w:r w:rsidRPr="0059303E">
        <w:rPr>
          <w:rFonts w:ascii="Arial" w:hAnsi="Arial" w:cs="Arial"/>
          <w:sz w:val="20"/>
          <w:szCs w:val="20"/>
        </w:rPr>
        <w:t>. 59.6% of TLEDs are assumed to have no ballast losses. Incorporating ballast wattage and fixture</w:t>
      </w:r>
      <w:r w:rsidR="00022EAC">
        <w:rPr>
          <w:rFonts w:ascii="Arial" w:hAnsi="Arial" w:cs="Arial"/>
          <w:sz w:val="20"/>
          <w:szCs w:val="20"/>
        </w:rPr>
        <w:t xml:space="preserve"> efficiency</w:t>
      </w:r>
      <w:r w:rsidRPr="0059303E">
        <w:rPr>
          <w:rFonts w:ascii="Arial" w:hAnsi="Arial" w:cs="Arial"/>
          <w:sz w:val="20"/>
          <w:szCs w:val="20"/>
        </w:rPr>
        <w:t xml:space="preserve"> losses yields a</w:t>
      </w:r>
      <w:r w:rsidR="005E6D6E">
        <w:rPr>
          <w:rFonts w:ascii="Arial" w:hAnsi="Arial" w:cs="Arial"/>
          <w:sz w:val="20"/>
          <w:szCs w:val="20"/>
        </w:rPr>
        <w:t xml:space="preserve">n efficacy </w:t>
      </w:r>
      <w:proofErr w:type="gramStart"/>
      <w:r w:rsidR="005E6D6E">
        <w:rPr>
          <w:rFonts w:ascii="Arial" w:hAnsi="Arial" w:cs="Arial"/>
          <w:sz w:val="20"/>
          <w:szCs w:val="20"/>
        </w:rPr>
        <w:t>of</w:t>
      </w:r>
      <w:r w:rsidRPr="0059303E">
        <w:rPr>
          <w:rFonts w:ascii="Arial" w:hAnsi="Arial" w:cs="Arial"/>
          <w:sz w:val="20"/>
          <w:szCs w:val="20"/>
        </w:rPr>
        <w:t xml:space="preserve"> </w:t>
      </w:r>
      <w:r w:rsidR="00022EAC">
        <w:rPr>
          <w:rFonts w:ascii="Arial" w:hAnsi="Arial" w:cs="Arial"/>
          <w:sz w:val="20"/>
          <w:szCs w:val="20"/>
        </w:rPr>
        <w:t>85.2</w:t>
      </w:r>
      <w:r w:rsidRPr="0059303E">
        <w:rPr>
          <w:rFonts w:ascii="Arial" w:hAnsi="Arial" w:cs="Arial"/>
          <w:sz w:val="20"/>
          <w:szCs w:val="20"/>
        </w:rPr>
        <w:t xml:space="preserve"> lm/W</w:t>
      </w:r>
      <w:proofErr w:type="gramEnd"/>
      <w:r w:rsidRPr="0059303E">
        <w:rPr>
          <w:rFonts w:ascii="Arial" w:hAnsi="Arial" w:cs="Arial"/>
          <w:sz w:val="20"/>
          <w:szCs w:val="20"/>
        </w:rPr>
        <w:t xml:space="preserve"> for TLEDs in fixtures.</w:t>
      </w:r>
      <w:bookmarkEnd w:id="87"/>
    </w:p>
    <w:p w14:paraId="02709D26" w14:textId="27D5470B" w:rsidR="000D4559" w:rsidRDefault="00D14767" w:rsidP="000D4559">
      <w:pPr>
        <w:pStyle w:val="Heading3"/>
      </w:pPr>
      <w:bookmarkStart w:id="89" w:name="_Toc2804911"/>
      <w:r>
        <w:t>1.5.7</w:t>
      </w:r>
      <w:r w:rsidR="000D4559">
        <w:t xml:space="preserve"> </w:t>
      </w:r>
      <w:proofErr w:type="spellStart"/>
      <w:r w:rsidR="000D4559">
        <w:t>CALiPER</w:t>
      </w:r>
      <w:proofErr w:type="spellEnd"/>
      <w:r w:rsidR="000D4559">
        <w:t xml:space="preserve"> Summary Report October, 2011:</w:t>
      </w:r>
      <w:bookmarkEnd w:id="89"/>
    </w:p>
    <w:p w14:paraId="217E7019" w14:textId="2A726796" w:rsidR="000D4559" w:rsidRDefault="000D4559" w:rsidP="000D4559">
      <w:pPr>
        <w:rPr>
          <w:rFonts w:ascii="Arial" w:hAnsi="Arial"/>
          <w:color w:val="000000"/>
          <w:sz w:val="20"/>
        </w:rPr>
      </w:pPr>
      <w:r w:rsidRPr="00E35C1C">
        <w:rPr>
          <w:rFonts w:ascii="Arial" w:hAnsi="Arial"/>
          <w:color w:val="000000"/>
          <w:sz w:val="20"/>
        </w:rPr>
        <w:t xml:space="preserve">The DOE Solid-State Lighting </w:t>
      </w:r>
      <w:proofErr w:type="spellStart"/>
      <w:r w:rsidRPr="00E35C1C">
        <w:rPr>
          <w:rFonts w:ascii="Arial" w:hAnsi="Arial"/>
          <w:color w:val="000000"/>
          <w:sz w:val="20"/>
        </w:rPr>
        <w:t>CALiPER</w:t>
      </w:r>
      <w:proofErr w:type="spellEnd"/>
      <w:r w:rsidRPr="00E35C1C">
        <w:rPr>
          <w:rFonts w:ascii="Arial" w:hAnsi="Arial"/>
          <w:color w:val="000000"/>
          <w:sz w:val="20"/>
        </w:rPr>
        <w:t xml:space="preserve"> Reports examined 7 LED high-bay fixtures combined in application summary reports #13</w:t>
      </w:r>
      <w:r w:rsidRPr="00E35C1C">
        <w:rPr>
          <w:rStyle w:val="EndnoteReference"/>
          <w:rFonts w:ascii="Arial" w:hAnsi="Arial"/>
          <w:color w:val="000000"/>
          <w:sz w:val="20"/>
        </w:rPr>
        <w:endnoteReference w:id="19"/>
      </w:r>
      <w:r w:rsidRPr="00E35C1C">
        <w:rPr>
          <w:rFonts w:ascii="Arial" w:hAnsi="Arial"/>
          <w:color w:val="000000"/>
          <w:sz w:val="20"/>
        </w:rPr>
        <w:t>. None of the 7 fixtures met the DLC minimums for efficacy and output. Given the small population relative to the full DL</w:t>
      </w:r>
      <w:r w:rsidRPr="00714362">
        <w:rPr>
          <w:rFonts w:ascii="Arial" w:hAnsi="Arial"/>
          <w:sz w:val="20"/>
        </w:rPr>
        <w:t xml:space="preserve">C QPL of </w:t>
      </w:r>
      <w:r>
        <w:rPr>
          <w:rFonts w:ascii="Arial" w:hAnsi="Arial"/>
          <w:sz w:val="20"/>
        </w:rPr>
        <w:t>7</w:t>
      </w:r>
      <w:r w:rsidRPr="00714362">
        <w:rPr>
          <w:rFonts w:ascii="Arial" w:hAnsi="Arial"/>
          <w:sz w:val="20"/>
        </w:rPr>
        <w:t>5,3</w:t>
      </w:r>
      <w:r>
        <w:rPr>
          <w:rFonts w:ascii="Arial" w:hAnsi="Arial"/>
          <w:sz w:val="20"/>
        </w:rPr>
        <w:t>04</w:t>
      </w:r>
      <w:r w:rsidRPr="00714362">
        <w:rPr>
          <w:rFonts w:ascii="Arial" w:hAnsi="Arial"/>
          <w:sz w:val="20"/>
        </w:rPr>
        <w:t xml:space="preserve"> products as of </w:t>
      </w:r>
      <w:r>
        <w:rPr>
          <w:rFonts w:ascii="Arial" w:hAnsi="Arial"/>
          <w:sz w:val="20"/>
        </w:rPr>
        <w:t>12</w:t>
      </w:r>
      <w:r w:rsidRPr="00714362">
        <w:rPr>
          <w:rFonts w:ascii="Arial" w:hAnsi="Arial"/>
          <w:sz w:val="20"/>
        </w:rPr>
        <w:t>/201</w:t>
      </w:r>
      <w:r>
        <w:rPr>
          <w:rFonts w:ascii="Arial" w:hAnsi="Arial"/>
          <w:sz w:val="20"/>
        </w:rPr>
        <w:t>8</w:t>
      </w:r>
      <w:r w:rsidRPr="00714362">
        <w:rPr>
          <w:rFonts w:ascii="Arial" w:hAnsi="Arial"/>
          <w:sz w:val="20"/>
        </w:rPr>
        <w:t xml:space="preserve">, </w:t>
      </w:r>
      <w:proofErr w:type="spellStart"/>
      <w:r w:rsidRPr="00714362">
        <w:rPr>
          <w:rFonts w:ascii="Arial" w:hAnsi="Arial"/>
          <w:sz w:val="20"/>
        </w:rPr>
        <w:t>CALiPER</w:t>
      </w:r>
      <w:proofErr w:type="spellEnd"/>
      <w:r w:rsidRPr="00714362">
        <w:rPr>
          <w:rFonts w:ascii="Arial" w:hAnsi="Arial"/>
          <w:sz w:val="20"/>
        </w:rPr>
        <w:t xml:space="preserve"> reports were not used for determining equivalency. Wattage equivale</w:t>
      </w:r>
      <w:r w:rsidRPr="00E35C1C">
        <w:rPr>
          <w:rFonts w:ascii="Arial" w:hAnsi="Arial"/>
          <w:color w:val="000000"/>
          <w:sz w:val="20"/>
        </w:rPr>
        <w:t xml:space="preserve">ncy was based on the full list of DLC products. </w:t>
      </w:r>
      <w:proofErr w:type="spellStart"/>
      <w:r w:rsidRPr="00E35C1C">
        <w:rPr>
          <w:rFonts w:ascii="Arial" w:hAnsi="Arial"/>
          <w:color w:val="000000"/>
          <w:sz w:val="20"/>
        </w:rPr>
        <w:t>CALiPER</w:t>
      </w:r>
      <w:proofErr w:type="spellEnd"/>
      <w:r w:rsidRPr="00E35C1C">
        <w:rPr>
          <w:rFonts w:ascii="Arial" w:hAnsi="Arial"/>
          <w:color w:val="000000"/>
          <w:sz w:val="20"/>
        </w:rPr>
        <w:t xml:space="preserve"> has not published a full application report on high-bay LEDs since report #13.</w:t>
      </w:r>
    </w:p>
    <w:p w14:paraId="1242B878" w14:textId="77777777" w:rsidR="005004E6" w:rsidRPr="00E35C1C" w:rsidRDefault="005004E6" w:rsidP="000D4559">
      <w:pPr>
        <w:rPr>
          <w:rFonts w:ascii="Arial" w:hAnsi="Arial"/>
          <w:color w:val="000000"/>
          <w:sz w:val="20"/>
        </w:rPr>
      </w:pPr>
    </w:p>
    <w:p w14:paraId="00EBFDB4" w14:textId="77777777" w:rsidR="00714362" w:rsidRDefault="002B40BA" w:rsidP="005004E6">
      <w:pPr>
        <w:pStyle w:val="Heading2"/>
        <w:spacing w:before="120"/>
      </w:pPr>
      <w:bookmarkStart w:id="90" w:name="_Ref510121468"/>
      <w:bookmarkStart w:id="91" w:name="_Toc511038038"/>
      <w:bookmarkStart w:id="92" w:name="_Toc2804912"/>
      <w:r w:rsidRPr="00F9673E">
        <w:t>1.6 Data Quality and Future Data Needs</w:t>
      </w:r>
      <w:bookmarkStart w:id="93" w:name="_Toc511038039"/>
      <w:bookmarkEnd w:id="90"/>
      <w:bookmarkEnd w:id="91"/>
      <w:bookmarkEnd w:id="92"/>
    </w:p>
    <w:p w14:paraId="18110B8B" w14:textId="78708E72" w:rsidR="00E332F9" w:rsidRPr="005004E6" w:rsidRDefault="00E332F9" w:rsidP="005004E6">
      <w:pPr>
        <w:pStyle w:val="Heading2"/>
        <w:spacing w:before="120"/>
        <w:rPr>
          <w:sz w:val="26"/>
          <w:szCs w:val="26"/>
        </w:rPr>
      </w:pPr>
      <w:bookmarkStart w:id="94" w:name="_Toc2804913"/>
      <w:r w:rsidRPr="005004E6">
        <w:rPr>
          <w:sz w:val="26"/>
          <w:szCs w:val="26"/>
        </w:rPr>
        <w:t>1.6.1 Standard Practice Baseline Studies</w:t>
      </w:r>
      <w:bookmarkEnd w:id="93"/>
      <w:bookmarkEnd w:id="94"/>
    </w:p>
    <w:p w14:paraId="60F49881" w14:textId="77777777" w:rsidR="00E332F9" w:rsidRPr="00BA39EA" w:rsidRDefault="00E332F9" w:rsidP="00E332F9">
      <w:pPr>
        <w:rPr>
          <w:rFonts w:ascii="Arial" w:hAnsi="Arial" w:cs="Arial"/>
          <w:b/>
          <w:sz w:val="20"/>
          <w:szCs w:val="20"/>
        </w:rPr>
      </w:pPr>
      <w:r w:rsidRPr="00BA39EA">
        <w:rPr>
          <w:rFonts w:ascii="Arial" w:hAnsi="Arial" w:cs="Arial"/>
          <w:b/>
          <w:sz w:val="20"/>
          <w:szCs w:val="20"/>
        </w:rPr>
        <w:t>Indoor LED Lighting</w:t>
      </w:r>
    </w:p>
    <w:p w14:paraId="228B71DE" w14:textId="25F01D2E" w:rsidR="00E332F9" w:rsidRPr="00BA39EA" w:rsidRDefault="00E332F9" w:rsidP="00E332F9">
      <w:pPr>
        <w:rPr>
          <w:rFonts w:ascii="Arial" w:hAnsi="Arial" w:cs="Arial"/>
          <w:sz w:val="20"/>
          <w:szCs w:val="20"/>
        </w:rPr>
      </w:pPr>
      <w:r w:rsidRPr="00BA39EA">
        <w:rPr>
          <w:rFonts w:ascii="Arial" w:hAnsi="Arial" w:cs="Arial"/>
          <w:sz w:val="20"/>
          <w:szCs w:val="20"/>
        </w:rPr>
        <w:t>Previous revisions of this workpaper focused on the replacement of metal halide or linear fluorescent fixtures with LED technology.  The baseline assumed 100% metal halide or 100% linear fluorescent in previous measure</w:t>
      </w:r>
      <w:r w:rsidR="00F060F2">
        <w:rPr>
          <w:rFonts w:ascii="Arial" w:hAnsi="Arial" w:cs="Arial"/>
          <w:sz w:val="20"/>
          <w:szCs w:val="20"/>
        </w:rPr>
        <w:t>s</w:t>
      </w:r>
      <w:r w:rsidRPr="00BA39EA">
        <w:rPr>
          <w:rFonts w:ascii="Arial" w:hAnsi="Arial" w:cs="Arial"/>
          <w:sz w:val="20"/>
          <w:szCs w:val="20"/>
        </w:rPr>
        <w:t xml:space="preserve">.  </w:t>
      </w:r>
    </w:p>
    <w:p w14:paraId="5A9C25CB" w14:textId="77777777" w:rsidR="00E332F9" w:rsidRPr="00BA39EA" w:rsidRDefault="00E332F9" w:rsidP="00E332F9">
      <w:pPr>
        <w:rPr>
          <w:rFonts w:ascii="Arial" w:hAnsi="Arial" w:cs="Arial"/>
          <w:sz w:val="20"/>
          <w:szCs w:val="20"/>
        </w:rPr>
      </w:pPr>
    </w:p>
    <w:p w14:paraId="1A6E01FD" w14:textId="30D7B7C8" w:rsidR="0055659A" w:rsidRDefault="00E332F9" w:rsidP="00E332F9">
      <w:pPr>
        <w:rPr>
          <w:rFonts w:ascii="Arial" w:hAnsi="Arial" w:cs="Arial"/>
          <w:sz w:val="20"/>
          <w:szCs w:val="20"/>
        </w:rPr>
      </w:pPr>
      <w:r>
        <w:rPr>
          <w:rFonts w:ascii="Arial" w:hAnsi="Arial" w:cs="Arial"/>
          <w:sz w:val="20"/>
          <w:szCs w:val="20"/>
        </w:rPr>
        <w:t>The Sept</w:t>
      </w:r>
      <w:r w:rsidR="006E5EB7">
        <w:rPr>
          <w:rFonts w:ascii="Arial" w:hAnsi="Arial" w:cs="Arial"/>
          <w:sz w:val="20"/>
          <w:szCs w:val="20"/>
        </w:rPr>
        <w:t>ember</w:t>
      </w:r>
      <w:r>
        <w:rPr>
          <w:rFonts w:ascii="Arial" w:hAnsi="Arial" w:cs="Arial"/>
          <w:sz w:val="20"/>
          <w:szCs w:val="20"/>
        </w:rPr>
        <w:t xml:space="preserve"> 2017 high-bay and low-bay disposition directed an update to reflect standard practice baseline for normal replacement situations.  As such, the C</w:t>
      </w:r>
      <w:r w:rsidRPr="00BA39EA">
        <w:rPr>
          <w:rFonts w:ascii="Arial" w:hAnsi="Arial" w:cs="Arial"/>
          <w:sz w:val="20"/>
          <w:szCs w:val="20"/>
        </w:rPr>
        <w:t xml:space="preserve">alifornia Investor-Owned Utilities </w:t>
      </w:r>
      <w:r w:rsidR="009B0442">
        <w:rPr>
          <w:rFonts w:ascii="Arial" w:hAnsi="Arial" w:cs="Arial"/>
          <w:sz w:val="20"/>
          <w:szCs w:val="20"/>
        </w:rPr>
        <w:t>originally intended to</w:t>
      </w:r>
      <w:r w:rsidR="009B0442" w:rsidRPr="00BA39EA">
        <w:rPr>
          <w:rFonts w:ascii="Arial" w:hAnsi="Arial" w:cs="Arial"/>
          <w:sz w:val="20"/>
          <w:szCs w:val="20"/>
        </w:rPr>
        <w:t xml:space="preserve"> </w:t>
      </w:r>
      <w:r w:rsidR="006E5EB7">
        <w:rPr>
          <w:rFonts w:ascii="Arial" w:hAnsi="Arial" w:cs="Arial"/>
          <w:sz w:val="20"/>
          <w:szCs w:val="20"/>
        </w:rPr>
        <w:t>leverag</w:t>
      </w:r>
      <w:r w:rsidR="009B0442">
        <w:rPr>
          <w:rFonts w:ascii="Arial" w:hAnsi="Arial" w:cs="Arial"/>
          <w:sz w:val="20"/>
          <w:szCs w:val="20"/>
        </w:rPr>
        <w:t>e</w:t>
      </w:r>
      <w:r w:rsidR="006E5EB7">
        <w:rPr>
          <w:rFonts w:ascii="Arial" w:hAnsi="Arial" w:cs="Arial"/>
          <w:sz w:val="20"/>
          <w:szCs w:val="20"/>
        </w:rPr>
        <w:t xml:space="preserve"> </w:t>
      </w:r>
      <w:r w:rsidR="009B0442">
        <w:rPr>
          <w:rFonts w:ascii="Arial" w:hAnsi="Arial" w:cs="Arial"/>
          <w:sz w:val="20"/>
          <w:szCs w:val="20"/>
        </w:rPr>
        <w:t xml:space="preserve">the </w:t>
      </w:r>
      <w:r w:rsidR="0055659A">
        <w:rPr>
          <w:rFonts w:ascii="Arial" w:hAnsi="Arial" w:cs="Arial"/>
          <w:sz w:val="20"/>
          <w:szCs w:val="20"/>
        </w:rPr>
        <w:t>PG&amp;E</w:t>
      </w:r>
      <w:r w:rsidR="006E5EB7">
        <w:rPr>
          <w:rFonts w:ascii="Arial" w:hAnsi="Arial" w:cs="Arial"/>
          <w:sz w:val="20"/>
          <w:szCs w:val="20"/>
        </w:rPr>
        <w:t>-led</w:t>
      </w:r>
      <w:r w:rsidRPr="00BA39EA">
        <w:rPr>
          <w:rFonts w:ascii="Arial" w:hAnsi="Arial" w:cs="Arial"/>
          <w:sz w:val="20"/>
          <w:szCs w:val="20"/>
        </w:rPr>
        <w:t xml:space="preserve"> “Non-residential Lighting Market Characterization Study”</w:t>
      </w:r>
      <w:r w:rsidR="009B0442">
        <w:rPr>
          <w:rFonts w:ascii="Arial" w:hAnsi="Arial" w:cs="Arial"/>
          <w:sz w:val="20"/>
          <w:szCs w:val="20"/>
        </w:rPr>
        <w:t xml:space="preserve"> mentioned in Section 1.5.4</w:t>
      </w:r>
      <w:r w:rsidRPr="00BA39EA">
        <w:rPr>
          <w:rFonts w:ascii="Arial" w:hAnsi="Arial" w:cs="Arial"/>
          <w:sz w:val="20"/>
          <w:szCs w:val="20"/>
        </w:rPr>
        <w:t xml:space="preserve"> that is</w:t>
      </w:r>
      <w:r w:rsidR="00694C35">
        <w:rPr>
          <w:rFonts w:ascii="Arial" w:hAnsi="Arial" w:cs="Arial"/>
          <w:sz w:val="20"/>
          <w:szCs w:val="20"/>
        </w:rPr>
        <w:t xml:space="preserve"> wrapping up in March 2019</w:t>
      </w:r>
      <w:r w:rsidR="00694C35" w:rsidRPr="00BA39EA">
        <w:rPr>
          <w:rFonts w:ascii="Arial" w:hAnsi="Arial" w:cs="Arial"/>
          <w:sz w:val="20"/>
          <w:szCs w:val="20"/>
        </w:rPr>
        <w:t xml:space="preserve"> </w:t>
      </w:r>
      <w:r w:rsidR="006E5EB7">
        <w:rPr>
          <w:rFonts w:ascii="Arial" w:hAnsi="Arial" w:cs="Arial"/>
          <w:sz w:val="20"/>
          <w:szCs w:val="20"/>
        </w:rPr>
        <w:t xml:space="preserve">by Navigant Consulting, Inc. </w:t>
      </w:r>
      <w:r w:rsidRPr="00BA39EA">
        <w:rPr>
          <w:rFonts w:ascii="Arial" w:hAnsi="Arial" w:cs="Arial"/>
          <w:sz w:val="20"/>
          <w:szCs w:val="20"/>
        </w:rPr>
        <w:t xml:space="preserve">to gather 2017 and projected (5 years) sales data </w:t>
      </w:r>
      <w:r w:rsidR="006E5EB7">
        <w:rPr>
          <w:rFonts w:ascii="Arial" w:hAnsi="Arial" w:cs="Arial"/>
          <w:sz w:val="20"/>
          <w:szCs w:val="20"/>
        </w:rPr>
        <w:t xml:space="preserve">that </w:t>
      </w:r>
      <w:r w:rsidR="009B0442">
        <w:rPr>
          <w:rFonts w:ascii="Arial" w:hAnsi="Arial" w:cs="Arial"/>
          <w:sz w:val="20"/>
          <w:szCs w:val="20"/>
        </w:rPr>
        <w:t>could</w:t>
      </w:r>
      <w:r w:rsidR="00F351DA">
        <w:rPr>
          <w:rFonts w:ascii="Arial" w:hAnsi="Arial" w:cs="Arial"/>
          <w:sz w:val="20"/>
          <w:szCs w:val="20"/>
        </w:rPr>
        <w:t xml:space="preserve"> </w:t>
      </w:r>
      <w:r w:rsidR="006E5EB7">
        <w:rPr>
          <w:rFonts w:ascii="Arial" w:hAnsi="Arial" w:cs="Arial"/>
          <w:sz w:val="20"/>
          <w:szCs w:val="20"/>
        </w:rPr>
        <w:t xml:space="preserve">inform the standard practice baseline for interior LED categories. </w:t>
      </w:r>
      <w:r w:rsidR="009B0442">
        <w:rPr>
          <w:rFonts w:ascii="Arial" w:hAnsi="Arial" w:cs="Arial"/>
          <w:sz w:val="20"/>
          <w:szCs w:val="20"/>
        </w:rPr>
        <w:t xml:space="preserve">However, the </w:t>
      </w:r>
      <w:r w:rsidR="00694C35">
        <w:rPr>
          <w:rFonts w:ascii="Arial" w:hAnsi="Arial" w:cs="Arial"/>
          <w:sz w:val="20"/>
          <w:szCs w:val="20"/>
        </w:rPr>
        <w:t xml:space="preserve">Market Characterization </w:t>
      </w:r>
      <w:r w:rsidR="009B0442">
        <w:rPr>
          <w:rFonts w:ascii="Arial" w:hAnsi="Arial" w:cs="Arial"/>
          <w:sz w:val="20"/>
          <w:szCs w:val="20"/>
        </w:rPr>
        <w:t xml:space="preserve">Study could not accommodate this latter scope and a separate “Statewide Interior Lighting Standard Practices Study” </w:t>
      </w:r>
      <w:r w:rsidR="00694C35">
        <w:rPr>
          <w:rFonts w:ascii="Arial" w:hAnsi="Arial" w:cs="Arial"/>
          <w:sz w:val="20"/>
          <w:szCs w:val="20"/>
        </w:rPr>
        <w:t xml:space="preserve">launching in March 2019 </w:t>
      </w:r>
      <w:r w:rsidR="009B0442">
        <w:rPr>
          <w:rFonts w:ascii="Arial" w:hAnsi="Arial" w:cs="Arial"/>
          <w:sz w:val="20"/>
          <w:szCs w:val="20"/>
        </w:rPr>
        <w:t>will be</w:t>
      </w:r>
      <w:r w:rsidR="00694C35">
        <w:rPr>
          <w:rFonts w:ascii="Arial" w:hAnsi="Arial" w:cs="Arial"/>
          <w:sz w:val="20"/>
          <w:szCs w:val="20"/>
        </w:rPr>
        <w:t xml:space="preserve"> conducted by TRC Energy Services that will investigate standard practices for interior lighting categories of Troffers, Downlights, and </w:t>
      </w:r>
      <w:proofErr w:type="spellStart"/>
      <w:r w:rsidR="00694C35">
        <w:rPr>
          <w:rFonts w:ascii="Arial" w:hAnsi="Arial" w:cs="Arial"/>
          <w:sz w:val="20"/>
          <w:szCs w:val="20"/>
        </w:rPr>
        <w:t>Highbay</w:t>
      </w:r>
      <w:proofErr w:type="spellEnd"/>
      <w:r w:rsidR="00694C35">
        <w:rPr>
          <w:rFonts w:ascii="Arial" w:hAnsi="Arial" w:cs="Arial"/>
          <w:sz w:val="20"/>
          <w:szCs w:val="20"/>
        </w:rPr>
        <w:t xml:space="preserve">-fixtures. </w:t>
      </w:r>
      <w:r w:rsidR="00694C35" w:rsidRPr="00694C35">
        <w:rPr>
          <w:rFonts w:ascii="Arial" w:hAnsi="Arial" w:cs="Arial"/>
          <w:sz w:val="20"/>
          <w:szCs w:val="20"/>
        </w:rPr>
        <w:t>It will also explore the various retrofit paths for a linear fluorescent fixture, in particular for troffers (lensed and parabolic) and linear fluorescent high/low-bay fixtures, and what rate the market is choosing each of these retrofits.</w:t>
      </w:r>
      <w:r w:rsidR="00694C35">
        <w:rPr>
          <w:rFonts w:ascii="Arial" w:hAnsi="Arial" w:cs="Arial"/>
          <w:sz w:val="20"/>
          <w:szCs w:val="20"/>
        </w:rPr>
        <w:t xml:space="preserve"> </w:t>
      </w:r>
      <w:r w:rsidR="00694C35" w:rsidRPr="00694C35">
        <w:rPr>
          <w:rFonts w:ascii="Arial" w:hAnsi="Arial" w:cs="Arial"/>
          <w:sz w:val="20"/>
          <w:szCs w:val="20"/>
        </w:rPr>
        <w:t xml:space="preserve">These retrofit paths have significantly different costs, and consequently significantly different IMCs, and potentially different energy savings. </w:t>
      </w:r>
    </w:p>
    <w:p w14:paraId="26CE5B33" w14:textId="77777777" w:rsidR="0055659A" w:rsidRDefault="0055659A" w:rsidP="00E332F9">
      <w:pPr>
        <w:rPr>
          <w:rFonts w:ascii="Arial" w:hAnsi="Arial" w:cs="Arial"/>
          <w:sz w:val="20"/>
          <w:szCs w:val="20"/>
        </w:rPr>
      </w:pPr>
    </w:p>
    <w:p w14:paraId="3362B5E9" w14:textId="54F7EAEA" w:rsidR="00E332F9" w:rsidRDefault="00694C35" w:rsidP="00E332F9">
      <w:pPr>
        <w:rPr>
          <w:rFonts w:ascii="Arial" w:hAnsi="Arial" w:cs="Arial"/>
          <w:sz w:val="20"/>
          <w:szCs w:val="20"/>
        </w:rPr>
      </w:pPr>
      <w:r w:rsidRPr="00694C35">
        <w:rPr>
          <w:rFonts w:ascii="Arial" w:hAnsi="Arial" w:cs="Arial"/>
          <w:sz w:val="20"/>
          <w:szCs w:val="20"/>
        </w:rPr>
        <w:lastRenderedPageBreak/>
        <w:t xml:space="preserve">Results from this </w:t>
      </w:r>
      <w:r>
        <w:rPr>
          <w:rFonts w:ascii="Arial" w:hAnsi="Arial" w:cs="Arial"/>
          <w:sz w:val="20"/>
          <w:szCs w:val="20"/>
        </w:rPr>
        <w:t>Interior Lighting Standard Practices Study</w:t>
      </w:r>
      <w:r w:rsidRPr="00694C35">
        <w:rPr>
          <w:rFonts w:ascii="Arial" w:hAnsi="Arial" w:cs="Arial"/>
          <w:sz w:val="20"/>
          <w:szCs w:val="20"/>
        </w:rPr>
        <w:t xml:space="preserve"> could help to inform future iterations on the blended baseline mix for LED technologies. </w:t>
      </w:r>
      <w:r w:rsidR="00BC00FC">
        <w:rPr>
          <w:rFonts w:ascii="Arial" w:hAnsi="Arial" w:cs="Arial"/>
          <w:sz w:val="20"/>
          <w:szCs w:val="20"/>
        </w:rPr>
        <w:t xml:space="preserve">The table below is </w:t>
      </w:r>
      <w:r w:rsidR="00586EBA">
        <w:rPr>
          <w:rFonts w:ascii="Arial" w:hAnsi="Arial" w:cs="Arial"/>
          <w:sz w:val="20"/>
          <w:szCs w:val="20"/>
        </w:rPr>
        <w:t>the</w:t>
      </w:r>
      <w:r w:rsidR="00BC00FC">
        <w:rPr>
          <w:rFonts w:ascii="Arial" w:hAnsi="Arial" w:cs="Arial"/>
          <w:sz w:val="20"/>
          <w:szCs w:val="20"/>
        </w:rPr>
        <w:t xml:space="preserve"> breakdown of technology use for the </w:t>
      </w:r>
      <w:r w:rsidR="00586EBA">
        <w:rPr>
          <w:rFonts w:ascii="Arial" w:hAnsi="Arial" w:cs="Arial"/>
          <w:sz w:val="20"/>
          <w:szCs w:val="20"/>
        </w:rPr>
        <w:t>base case used in the savings calculations</w:t>
      </w:r>
      <w:r w:rsidR="002C466F">
        <w:rPr>
          <w:rFonts w:ascii="Arial" w:hAnsi="Arial" w:cs="Arial"/>
          <w:sz w:val="20"/>
          <w:szCs w:val="20"/>
        </w:rPr>
        <w:t>, to be used until further study data is available</w:t>
      </w:r>
      <w:r w:rsidR="00586EBA">
        <w:rPr>
          <w:rFonts w:ascii="Arial" w:hAnsi="Arial" w:cs="Arial"/>
          <w:sz w:val="20"/>
          <w:szCs w:val="20"/>
        </w:rPr>
        <w:t>.</w:t>
      </w:r>
      <w:r w:rsidR="00AB31B9">
        <w:rPr>
          <w:rFonts w:ascii="Arial" w:hAnsi="Arial" w:cs="Arial"/>
          <w:sz w:val="20"/>
          <w:szCs w:val="20"/>
        </w:rPr>
        <w:t xml:space="preserve">  </w:t>
      </w:r>
    </w:p>
    <w:p w14:paraId="5FF01085" w14:textId="77777777" w:rsidR="00CF3718" w:rsidRDefault="00CF3718" w:rsidP="00E332F9">
      <w:pPr>
        <w:rPr>
          <w:rFonts w:ascii="Arial" w:hAnsi="Arial" w:cs="Arial"/>
          <w:sz w:val="20"/>
          <w:szCs w:val="20"/>
        </w:rPr>
      </w:pPr>
    </w:p>
    <w:p w14:paraId="705167C2" w14:textId="7CB10372" w:rsidR="005F797F" w:rsidRPr="007042ED" w:rsidRDefault="005F797F" w:rsidP="005F797F">
      <w:pPr>
        <w:pStyle w:val="Caption"/>
        <w:keepNext/>
        <w:jc w:val="center"/>
      </w:pPr>
      <w:bookmarkStart w:id="95" w:name="_Ref510982488"/>
      <w:bookmarkStart w:id="96" w:name="_Toc511038013"/>
      <w:bookmarkStart w:id="97" w:name="_Toc511244274"/>
      <w:bookmarkStart w:id="98" w:name="_Toc511244299"/>
      <w:bookmarkStart w:id="99" w:name="_Toc2804940"/>
      <w:r w:rsidRPr="007042ED">
        <w:t xml:space="preserve">Table </w:t>
      </w:r>
      <w:fldSimple w:instr=" SEQ Table \* ARABIC ">
        <w:r w:rsidR="007803A1">
          <w:rPr>
            <w:noProof/>
          </w:rPr>
          <w:t>9</w:t>
        </w:r>
      </w:fldSimple>
      <w:r w:rsidR="007042ED">
        <w:t xml:space="preserve"> </w:t>
      </w:r>
      <w:r w:rsidRPr="007042ED">
        <w:t>Base Case Technology Percentage Mix</w:t>
      </w:r>
      <w:bookmarkEnd w:id="95"/>
      <w:bookmarkEnd w:id="96"/>
      <w:bookmarkEnd w:id="97"/>
      <w:bookmarkEnd w:id="98"/>
      <w:bookmarkEnd w:id="99"/>
    </w:p>
    <w:tbl>
      <w:tblPr>
        <w:tblW w:w="52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
        <w:gridCol w:w="4678"/>
        <w:gridCol w:w="989"/>
        <w:gridCol w:w="1349"/>
        <w:gridCol w:w="989"/>
        <w:gridCol w:w="987"/>
      </w:tblGrid>
      <w:tr w:rsidR="00022EAC" w:rsidRPr="00174ED0" w14:paraId="58B4EAA2" w14:textId="244443EA" w:rsidTr="00C9100B">
        <w:trPr>
          <w:trHeight w:val="337"/>
        </w:trPr>
        <w:tc>
          <w:tcPr>
            <w:tcW w:w="508" w:type="pct"/>
            <w:shd w:val="clear" w:color="auto" w:fill="auto"/>
            <w:noWrap/>
            <w:vAlign w:val="center"/>
          </w:tcPr>
          <w:p w14:paraId="601922CA" w14:textId="286C1EE3" w:rsidR="002C466F" w:rsidRPr="00022EAC" w:rsidRDefault="002C466F" w:rsidP="00570F86">
            <w:pPr>
              <w:autoSpaceDE w:val="0"/>
              <w:autoSpaceDN w:val="0"/>
              <w:jc w:val="center"/>
              <w:rPr>
                <w:rFonts w:ascii="Arial" w:hAnsi="Arial" w:cs="Arial"/>
                <w:b/>
                <w:color w:val="000000"/>
                <w:sz w:val="19"/>
                <w:szCs w:val="19"/>
              </w:rPr>
            </w:pPr>
            <w:r w:rsidRPr="00022EAC">
              <w:rPr>
                <w:rFonts w:ascii="Arial" w:hAnsi="Arial" w:cs="Arial"/>
                <w:b/>
                <w:color w:val="000000"/>
                <w:sz w:val="19"/>
                <w:szCs w:val="19"/>
              </w:rPr>
              <w:t>Measure Code</w:t>
            </w:r>
          </w:p>
        </w:tc>
        <w:tc>
          <w:tcPr>
            <w:tcW w:w="2337" w:type="pct"/>
            <w:shd w:val="clear" w:color="auto" w:fill="auto"/>
            <w:noWrap/>
            <w:vAlign w:val="center"/>
          </w:tcPr>
          <w:p w14:paraId="666C02D1" w14:textId="53462D6F" w:rsidR="002C466F" w:rsidRPr="00022EAC" w:rsidRDefault="002C466F" w:rsidP="00796881">
            <w:pPr>
              <w:rPr>
                <w:rFonts w:ascii="Arial" w:hAnsi="Arial" w:cs="Arial"/>
                <w:b/>
                <w:color w:val="000000"/>
                <w:sz w:val="19"/>
                <w:szCs w:val="19"/>
              </w:rPr>
            </w:pPr>
            <w:r w:rsidRPr="00022EAC">
              <w:rPr>
                <w:rFonts w:ascii="Arial" w:hAnsi="Arial" w:cs="Arial"/>
                <w:b/>
                <w:color w:val="000000"/>
                <w:sz w:val="19"/>
                <w:szCs w:val="19"/>
              </w:rPr>
              <w:t>Measure Description</w:t>
            </w:r>
          </w:p>
        </w:tc>
        <w:tc>
          <w:tcPr>
            <w:tcW w:w="494" w:type="pct"/>
            <w:vAlign w:val="center"/>
          </w:tcPr>
          <w:p w14:paraId="19CA2B01" w14:textId="2897FCBF" w:rsidR="002C466F" w:rsidRPr="00022EAC" w:rsidRDefault="002C466F" w:rsidP="00E234AD">
            <w:pPr>
              <w:jc w:val="center"/>
              <w:rPr>
                <w:rFonts w:ascii="Arial" w:hAnsi="Arial" w:cs="Arial"/>
                <w:b/>
                <w:color w:val="000000"/>
                <w:sz w:val="19"/>
                <w:szCs w:val="19"/>
              </w:rPr>
            </w:pPr>
            <w:r w:rsidRPr="00022EAC">
              <w:rPr>
                <w:rFonts w:ascii="Arial" w:hAnsi="Arial" w:cs="Arial"/>
                <w:b/>
                <w:color w:val="000000"/>
                <w:sz w:val="19"/>
                <w:szCs w:val="19"/>
              </w:rPr>
              <w:t>Measure Case Tier</w:t>
            </w:r>
          </w:p>
        </w:tc>
        <w:tc>
          <w:tcPr>
            <w:tcW w:w="674" w:type="pct"/>
            <w:vAlign w:val="center"/>
          </w:tcPr>
          <w:p w14:paraId="3898EB7D" w14:textId="6F4088BA" w:rsidR="002C466F" w:rsidRPr="00022EAC" w:rsidRDefault="002C466F" w:rsidP="00570F86">
            <w:pPr>
              <w:jc w:val="center"/>
              <w:rPr>
                <w:rFonts w:ascii="Arial" w:hAnsi="Arial" w:cs="Arial"/>
                <w:b/>
                <w:color w:val="000000"/>
                <w:sz w:val="19"/>
                <w:szCs w:val="19"/>
              </w:rPr>
            </w:pPr>
            <w:r w:rsidRPr="00022EAC">
              <w:rPr>
                <w:rFonts w:ascii="Arial" w:hAnsi="Arial" w:cs="Arial"/>
                <w:b/>
                <w:color w:val="000000"/>
                <w:sz w:val="19"/>
                <w:szCs w:val="19"/>
              </w:rPr>
              <w:t>Base Case</w:t>
            </w:r>
          </w:p>
          <w:p w14:paraId="26B9E29B" w14:textId="7943C992" w:rsidR="002C466F" w:rsidRPr="00022EAC" w:rsidRDefault="002C466F" w:rsidP="00570F86">
            <w:pPr>
              <w:jc w:val="center"/>
              <w:rPr>
                <w:rFonts w:ascii="Arial" w:hAnsi="Arial" w:cs="Arial"/>
                <w:b/>
                <w:color w:val="000000"/>
                <w:sz w:val="19"/>
                <w:szCs w:val="19"/>
              </w:rPr>
            </w:pPr>
            <w:r w:rsidRPr="00022EAC">
              <w:rPr>
                <w:rFonts w:ascii="Arial" w:hAnsi="Arial" w:cs="Arial"/>
                <w:b/>
                <w:color w:val="000000"/>
                <w:sz w:val="19"/>
                <w:szCs w:val="19"/>
              </w:rPr>
              <w:t>% Linear Fluorescent</w:t>
            </w:r>
          </w:p>
        </w:tc>
        <w:tc>
          <w:tcPr>
            <w:tcW w:w="494" w:type="pct"/>
          </w:tcPr>
          <w:p w14:paraId="76C91D3B" w14:textId="57A75970" w:rsidR="002C466F" w:rsidRPr="00022EAC" w:rsidRDefault="002C466F" w:rsidP="00570F86">
            <w:pPr>
              <w:jc w:val="center"/>
              <w:rPr>
                <w:rFonts w:ascii="Arial" w:hAnsi="Arial" w:cs="Arial"/>
                <w:b/>
                <w:color w:val="000000"/>
                <w:sz w:val="19"/>
                <w:szCs w:val="19"/>
              </w:rPr>
            </w:pPr>
            <w:r w:rsidRPr="00022EAC">
              <w:rPr>
                <w:rFonts w:ascii="Arial" w:hAnsi="Arial" w:cs="Arial"/>
                <w:b/>
                <w:color w:val="000000"/>
                <w:sz w:val="19"/>
                <w:szCs w:val="19"/>
              </w:rPr>
              <w:t xml:space="preserve">Base Case % TLED </w:t>
            </w:r>
          </w:p>
        </w:tc>
        <w:tc>
          <w:tcPr>
            <w:tcW w:w="494" w:type="pct"/>
            <w:vAlign w:val="center"/>
          </w:tcPr>
          <w:p w14:paraId="54B59D52" w14:textId="4EED0AEE" w:rsidR="002C466F" w:rsidRPr="00022EAC" w:rsidRDefault="002C466F" w:rsidP="00570F86">
            <w:pPr>
              <w:jc w:val="center"/>
              <w:rPr>
                <w:rFonts w:ascii="Arial" w:hAnsi="Arial" w:cs="Arial"/>
                <w:b/>
                <w:color w:val="000000"/>
                <w:sz w:val="19"/>
                <w:szCs w:val="19"/>
              </w:rPr>
            </w:pPr>
            <w:r w:rsidRPr="00022EAC">
              <w:rPr>
                <w:rFonts w:ascii="Arial" w:hAnsi="Arial" w:cs="Arial"/>
                <w:b/>
                <w:color w:val="000000"/>
                <w:sz w:val="19"/>
                <w:szCs w:val="19"/>
              </w:rPr>
              <w:t>Base Case</w:t>
            </w:r>
          </w:p>
          <w:p w14:paraId="69EE2466" w14:textId="04978527" w:rsidR="002C466F" w:rsidRPr="00022EAC" w:rsidRDefault="002C466F" w:rsidP="00570F86">
            <w:pPr>
              <w:jc w:val="center"/>
              <w:rPr>
                <w:rFonts w:ascii="Arial" w:hAnsi="Arial" w:cs="Arial"/>
                <w:b/>
                <w:color w:val="000000"/>
                <w:sz w:val="19"/>
                <w:szCs w:val="19"/>
              </w:rPr>
            </w:pPr>
            <w:r w:rsidRPr="00022EAC">
              <w:rPr>
                <w:rFonts w:ascii="Arial" w:hAnsi="Arial" w:cs="Arial"/>
                <w:b/>
                <w:color w:val="000000"/>
                <w:sz w:val="19"/>
                <w:szCs w:val="19"/>
              </w:rPr>
              <w:t>% LED</w:t>
            </w:r>
          </w:p>
        </w:tc>
      </w:tr>
      <w:tr w:rsidR="00022EAC" w:rsidRPr="00174ED0" w14:paraId="022075EA" w14:textId="77777777" w:rsidTr="00C9100B">
        <w:trPr>
          <w:trHeight w:val="337"/>
        </w:trPr>
        <w:tc>
          <w:tcPr>
            <w:tcW w:w="508" w:type="pct"/>
            <w:shd w:val="clear" w:color="auto" w:fill="auto"/>
            <w:noWrap/>
            <w:vAlign w:val="center"/>
          </w:tcPr>
          <w:p w14:paraId="121FD1B0" w14:textId="7D5CFB47" w:rsidR="002C466F" w:rsidRPr="00022EAC"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LT514</w:t>
            </w:r>
          </w:p>
        </w:tc>
        <w:tc>
          <w:tcPr>
            <w:tcW w:w="2337" w:type="pct"/>
            <w:shd w:val="clear" w:color="auto" w:fill="auto"/>
            <w:noWrap/>
            <w:vAlign w:val="center"/>
          </w:tcPr>
          <w:p w14:paraId="69BBF852" w14:textId="15E2346E"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4500 to &lt; 5400 lumens and &gt;= 110 LPW and &lt; 130 LPW</w:t>
            </w:r>
          </w:p>
        </w:tc>
        <w:tc>
          <w:tcPr>
            <w:tcW w:w="494" w:type="pct"/>
            <w:vAlign w:val="center"/>
          </w:tcPr>
          <w:p w14:paraId="0F2893AD" w14:textId="5733860B"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Tier 1</w:t>
            </w:r>
          </w:p>
        </w:tc>
        <w:tc>
          <w:tcPr>
            <w:tcW w:w="674" w:type="pct"/>
            <w:vAlign w:val="center"/>
          </w:tcPr>
          <w:p w14:paraId="1B4CEAA4" w14:textId="7D768AEB"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10356BA4" w14:textId="5156CAD5"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6B324225" w14:textId="680239D9"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60%</w:t>
            </w:r>
          </w:p>
        </w:tc>
      </w:tr>
      <w:tr w:rsidR="00022EAC" w:rsidRPr="00174ED0" w14:paraId="26BF9861" w14:textId="6CF9ED26" w:rsidTr="00C9100B">
        <w:trPr>
          <w:trHeight w:val="337"/>
        </w:trPr>
        <w:tc>
          <w:tcPr>
            <w:tcW w:w="508" w:type="pct"/>
            <w:shd w:val="clear" w:color="auto" w:fill="auto"/>
            <w:noWrap/>
            <w:vAlign w:val="center"/>
          </w:tcPr>
          <w:p w14:paraId="2F9A3978" w14:textId="1D2DD8E4" w:rsidR="002C466F" w:rsidRPr="00022EAC"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LT515</w:t>
            </w:r>
          </w:p>
        </w:tc>
        <w:tc>
          <w:tcPr>
            <w:tcW w:w="2337" w:type="pct"/>
            <w:shd w:val="clear" w:color="auto" w:fill="auto"/>
            <w:noWrap/>
            <w:vAlign w:val="center"/>
          </w:tcPr>
          <w:p w14:paraId="7DCC6EB2" w14:textId="5D653520"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5400 to &lt; 6500 lumens and &gt;= 110 LPW and &lt; 130 LPW</w:t>
            </w:r>
          </w:p>
        </w:tc>
        <w:tc>
          <w:tcPr>
            <w:tcW w:w="494" w:type="pct"/>
            <w:vAlign w:val="center"/>
          </w:tcPr>
          <w:p w14:paraId="17CB4FB0" w14:textId="2638C669"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Tier 1</w:t>
            </w:r>
          </w:p>
        </w:tc>
        <w:tc>
          <w:tcPr>
            <w:tcW w:w="674" w:type="pct"/>
            <w:vAlign w:val="center"/>
          </w:tcPr>
          <w:p w14:paraId="04FF6599" w14:textId="0401C64E"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7D562CCD" w14:textId="1F8BC3A2"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4B0BBFEB" w14:textId="12B2F56A"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60%</w:t>
            </w:r>
          </w:p>
        </w:tc>
      </w:tr>
      <w:tr w:rsidR="00022EAC" w:rsidRPr="00174ED0" w14:paraId="77F904FE" w14:textId="74CFCE84" w:rsidTr="00C9100B">
        <w:trPr>
          <w:trHeight w:val="337"/>
        </w:trPr>
        <w:tc>
          <w:tcPr>
            <w:tcW w:w="508" w:type="pct"/>
            <w:shd w:val="clear" w:color="auto" w:fill="auto"/>
            <w:noWrap/>
            <w:vAlign w:val="center"/>
          </w:tcPr>
          <w:p w14:paraId="1F458281" w14:textId="50220ED1" w:rsidR="002C466F" w:rsidRPr="00022EAC"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LT516</w:t>
            </w:r>
          </w:p>
        </w:tc>
        <w:tc>
          <w:tcPr>
            <w:tcW w:w="2337" w:type="pct"/>
            <w:shd w:val="clear" w:color="auto" w:fill="auto"/>
            <w:noWrap/>
            <w:vAlign w:val="center"/>
          </w:tcPr>
          <w:p w14:paraId="5B66207B" w14:textId="3C30CF74"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6500 to &lt; 7800 lumens and &gt;= 110 LPW and &lt; 130 LPW</w:t>
            </w:r>
          </w:p>
        </w:tc>
        <w:tc>
          <w:tcPr>
            <w:tcW w:w="494" w:type="pct"/>
            <w:vAlign w:val="center"/>
          </w:tcPr>
          <w:p w14:paraId="5C8AB877" w14:textId="6AD31237"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Tier 1</w:t>
            </w:r>
          </w:p>
        </w:tc>
        <w:tc>
          <w:tcPr>
            <w:tcW w:w="674" w:type="pct"/>
            <w:vAlign w:val="center"/>
          </w:tcPr>
          <w:p w14:paraId="19733E73" w14:textId="56FC8A55"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506C3A64" w14:textId="1A804F08"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6332A6EC" w14:textId="5DCC65BE"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60%</w:t>
            </w:r>
          </w:p>
        </w:tc>
      </w:tr>
      <w:tr w:rsidR="00022EAC" w:rsidRPr="00174ED0" w14:paraId="490591FD" w14:textId="0E923A1C" w:rsidTr="00C9100B">
        <w:trPr>
          <w:trHeight w:val="337"/>
        </w:trPr>
        <w:tc>
          <w:tcPr>
            <w:tcW w:w="508" w:type="pct"/>
            <w:shd w:val="clear" w:color="auto" w:fill="auto"/>
            <w:noWrap/>
            <w:vAlign w:val="center"/>
          </w:tcPr>
          <w:p w14:paraId="27417D36" w14:textId="64741045" w:rsidR="002C466F" w:rsidRPr="00022EAC"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LT517</w:t>
            </w:r>
          </w:p>
        </w:tc>
        <w:tc>
          <w:tcPr>
            <w:tcW w:w="2337" w:type="pct"/>
            <w:shd w:val="clear" w:color="auto" w:fill="auto"/>
            <w:noWrap/>
            <w:vAlign w:val="center"/>
          </w:tcPr>
          <w:p w14:paraId="4F249218" w14:textId="4A3FB747"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7800 to &lt; 9400 lumens and &gt;= 110 LPW and &lt; 130 LPW</w:t>
            </w:r>
          </w:p>
        </w:tc>
        <w:tc>
          <w:tcPr>
            <w:tcW w:w="494" w:type="pct"/>
            <w:vAlign w:val="center"/>
          </w:tcPr>
          <w:p w14:paraId="3B3C8CF1" w14:textId="70F56302"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Tier 1</w:t>
            </w:r>
          </w:p>
        </w:tc>
        <w:tc>
          <w:tcPr>
            <w:tcW w:w="674" w:type="pct"/>
            <w:vAlign w:val="center"/>
          </w:tcPr>
          <w:p w14:paraId="2A30D9C7" w14:textId="5CDA100E"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67638F6E" w14:textId="5C3F7916"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1ACBF387" w14:textId="4DA85AA3"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60%</w:t>
            </w:r>
          </w:p>
        </w:tc>
      </w:tr>
      <w:tr w:rsidR="00022EAC" w:rsidRPr="00174ED0" w14:paraId="47A07286" w14:textId="660F86B0" w:rsidTr="00C9100B">
        <w:trPr>
          <w:trHeight w:val="337"/>
        </w:trPr>
        <w:tc>
          <w:tcPr>
            <w:tcW w:w="508" w:type="pct"/>
            <w:shd w:val="clear" w:color="auto" w:fill="auto"/>
            <w:noWrap/>
            <w:vAlign w:val="center"/>
          </w:tcPr>
          <w:p w14:paraId="75BE66A2" w14:textId="143AA00A" w:rsidR="002C466F" w:rsidRPr="00022EAC"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LT518</w:t>
            </w:r>
          </w:p>
        </w:tc>
        <w:tc>
          <w:tcPr>
            <w:tcW w:w="2337" w:type="pct"/>
            <w:shd w:val="clear" w:color="auto" w:fill="auto"/>
            <w:noWrap/>
            <w:vAlign w:val="center"/>
          </w:tcPr>
          <w:p w14:paraId="1C0003DA" w14:textId="3355296A"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9400 to &lt; 11800 lumens and &gt;= 110 LPW and &lt; 130 LPW</w:t>
            </w:r>
          </w:p>
        </w:tc>
        <w:tc>
          <w:tcPr>
            <w:tcW w:w="494" w:type="pct"/>
            <w:vAlign w:val="center"/>
          </w:tcPr>
          <w:p w14:paraId="68326BB9" w14:textId="0EBB1ED5"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Tier 1</w:t>
            </w:r>
          </w:p>
        </w:tc>
        <w:tc>
          <w:tcPr>
            <w:tcW w:w="674" w:type="pct"/>
            <w:vAlign w:val="center"/>
          </w:tcPr>
          <w:p w14:paraId="54958857" w14:textId="1193F0FD"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30A255F4" w14:textId="70083F95"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7CAF01EC" w14:textId="5830D475"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60%</w:t>
            </w:r>
          </w:p>
        </w:tc>
      </w:tr>
      <w:tr w:rsidR="00022EAC" w:rsidRPr="00174ED0" w14:paraId="5F9BC97C" w14:textId="77777777" w:rsidTr="00C9100B">
        <w:trPr>
          <w:trHeight w:val="337"/>
        </w:trPr>
        <w:tc>
          <w:tcPr>
            <w:tcW w:w="508" w:type="pct"/>
            <w:shd w:val="clear" w:color="auto" w:fill="auto"/>
            <w:noWrap/>
            <w:vAlign w:val="center"/>
          </w:tcPr>
          <w:p w14:paraId="044FC5F9" w14:textId="3B81D3EF" w:rsidR="002C466F" w:rsidRPr="00022EAC"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LT519</w:t>
            </w:r>
          </w:p>
        </w:tc>
        <w:tc>
          <w:tcPr>
            <w:tcW w:w="2337" w:type="pct"/>
            <w:shd w:val="clear" w:color="auto" w:fill="auto"/>
            <w:noWrap/>
            <w:vAlign w:val="center"/>
          </w:tcPr>
          <w:p w14:paraId="036A8C19" w14:textId="74AE9E2C"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11800 to &lt; 14800 lumens and &gt;= 110 LPW and &lt; 130 LPW</w:t>
            </w:r>
          </w:p>
        </w:tc>
        <w:tc>
          <w:tcPr>
            <w:tcW w:w="494" w:type="pct"/>
            <w:vAlign w:val="center"/>
          </w:tcPr>
          <w:p w14:paraId="298D4CC0" w14:textId="2E8FB21C"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Tier 1</w:t>
            </w:r>
          </w:p>
        </w:tc>
        <w:tc>
          <w:tcPr>
            <w:tcW w:w="674" w:type="pct"/>
            <w:vAlign w:val="center"/>
          </w:tcPr>
          <w:p w14:paraId="2CC63CBE" w14:textId="7015162F"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428C1BCF" w14:textId="6518B707"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4C15138C" w14:textId="4B613599"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60%</w:t>
            </w:r>
          </w:p>
        </w:tc>
      </w:tr>
      <w:tr w:rsidR="00022EAC" w:rsidRPr="00174ED0" w14:paraId="186D3EBA" w14:textId="77777777" w:rsidTr="00C9100B">
        <w:trPr>
          <w:trHeight w:val="337"/>
        </w:trPr>
        <w:tc>
          <w:tcPr>
            <w:tcW w:w="508" w:type="pct"/>
            <w:shd w:val="clear" w:color="auto" w:fill="auto"/>
            <w:noWrap/>
            <w:vAlign w:val="center"/>
          </w:tcPr>
          <w:p w14:paraId="592AA968" w14:textId="117D8787" w:rsidR="002C466F" w:rsidRPr="00022EAC"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LT520</w:t>
            </w:r>
          </w:p>
        </w:tc>
        <w:tc>
          <w:tcPr>
            <w:tcW w:w="2337" w:type="pct"/>
            <w:shd w:val="clear" w:color="auto" w:fill="auto"/>
            <w:noWrap/>
            <w:vAlign w:val="center"/>
          </w:tcPr>
          <w:p w14:paraId="54B1CEC6" w14:textId="334AB5CD"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14800 to &lt; 18500 lumens and &gt;= 120 LPW and &lt; 130 LPW</w:t>
            </w:r>
          </w:p>
        </w:tc>
        <w:tc>
          <w:tcPr>
            <w:tcW w:w="494" w:type="pct"/>
            <w:vAlign w:val="center"/>
          </w:tcPr>
          <w:p w14:paraId="44567385" w14:textId="45DD5168"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Tier 1</w:t>
            </w:r>
          </w:p>
        </w:tc>
        <w:tc>
          <w:tcPr>
            <w:tcW w:w="674" w:type="pct"/>
            <w:vAlign w:val="center"/>
          </w:tcPr>
          <w:p w14:paraId="439A9D3E" w14:textId="2E2DCAA8"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10%</w:t>
            </w:r>
          </w:p>
        </w:tc>
        <w:tc>
          <w:tcPr>
            <w:tcW w:w="494" w:type="pct"/>
            <w:vAlign w:val="center"/>
          </w:tcPr>
          <w:p w14:paraId="4FDAE065" w14:textId="267029DA"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10%</w:t>
            </w:r>
          </w:p>
        </w:tc>
        <w:tc>
          <w:tcPr>
            <w:tcW w:w="494" w:type="pct"/>
            <w:vAlign w:val="center"/>
          </w:tcPr>
          <w:p w14:paraId="1D8F2AE4" w14:textId="7320270E"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80%</w:t>
            </w:r>
          </w:p>
        </w:tc>
      </w:tr>
      <w:tr w:rsidR="00022EAC" w:rsidRPr="00174ED0" w14:paraId="37BAA50F" w14:textId="46BC711F" w:rsidTr="00C9100B">
        <w:trPr>
          <w:trHeight w:val="337"/>
        </w:trPr>
        <w:tc>
          <w:tcPr>
            <w:tcW w:w="508" w:type="pct"/>
            <w:shd w:val="clear" w:color="auto" w:fill="auto"/>
            <w:noWrap/>
            <w:vAlign w:val="center"/>
          </w:tcPr>
          <w:p w14:paraId="71565E96" w14:textId="3FFB988E" w:rsidR="002C466F" w:rsidRPr="00022EAC"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LT521</w:t>
            </w:r>
          </w:p>
        </w:tc>
        <w:tc>
          <w:tcPr>
            <w:tcW w:w="2337" w:type="pct"/>
            <w:shd w:val="clear" w:color="auto" w:fill="auto"/>
            <w:noWrap/>
            <w:vAlign w:val="center"/>
          </w:tcPr>
          <w:p w14:paraId="3ECC1E7E" w14:textId="29651029"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18500 to &lt; 23100 lumens and &gt;= 120 LPW and &lt; 130 LPW</w:t>
            </w:r>
          </w:p>
        </w:tc>
        <w:tc>
          <w:tcPr>
            <w:tcW w:w="494" w:type="pct"/>
            <w:vAlign w:val="center"/>
          </w:tcPr>
          <w:p w14:paraId="54234874" w14:textId="17FCA3A7"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Tier 1</w:t>
            </w:r>
          </w:p>
        </w:tc>
        <w:tc>
          <w:tcPr>
            <w:tcW w:w="674" w:type="pct"/>
            <w:vAlign w:val="center"/>
          </w:tcPr>
          <w:p w14:paraId="0CAD8A95" w14:textId="618B98FB"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10%</w:t>
            </w:r>
          </w:p>
        </w:tc>
        <w:tc>
          <w:tcPr>
            <w:tcW w:w="494" w:type="pct"/>
            <w:vAlign w:val="center"/>
          </w:tcPr>
          <w:p w14:paraId="04F0AA76" w14:textId="2DDD49F5"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10%</w:t>
            </w:r>
          </w:p>
        </w:tc>
        <w:tc>
          <w:tcPr>
            <w:tcW w:w="494" w:type="pct"/>
            <w:vAlign w:val="center"/>
          </w:tcPr>
          <w:p w14:paraId="464C9ED6" w14:textId="55F4D131"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80%</w:t>
            </w:r>
          </w:p>
        </w:tc>
      </w:tr>
      <w:tr w:rsidR="00022EAC" w:rsidRPr="00174ED0" w14:paraId="735B2F1E" w14:textId="77777777" w:rsidTr="00C9100B">
        <w:trPr>
          <w:trHeight w:val="337"/>
        </w:trPr>
        <w:tc>
          <w:tcPr>
            <w:tcW w:w="508" w:type="pct"/>
            <w:shd w:val="clear" w:color="auto" w:fill="auto"/>
            <w:noWrap/>
            <w:vAlign w:val="center"/>
          </w:tcPr>
          <w:p w14:paraId="3866BCA9" w14:textId="271B75A0" w:rsidR="002C466F" w:rsidRPr="00022EAC"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LT522</w:t>
            </w:r>
          </w:p>
        </w:tc>
        <w:tc>
          <w:tcPr>
            <w:tcW w:w="2337" w:type="pct"/>
            <w:shd w:val="clear" w:color="auto" w:fill="auto"/>
            <w:noWrap/>
            <w:vAlign w:val="center"/>
          </w:tcPr>
          <w:p w14:paraId="58606D8B" w14:textId="34B44EBE"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23100 to &lt; 30000 lumens and &gt;= 125 LPW and &lt; 135 LPW</w:t>
            </w:r>
          </w:p>
        </w:tc>
        <w:tc>
          <w:tcPr>
            <w:tcW w:w="494" w:type="pct"/>
            <w:vAlign w:val="center"/>
          </w:tcPr>
          <w:p w14:paraId="065758A6" w14:textId="667606AC"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Tier 1</w:t>
            </w:r>
          </w:p>
        </w:tc>
        <w:tc>
          <w:tcPr>
            <w:tcW w:w="674" w:type="pct"/>
            <w:vAlign w:val="center"/>
          </w:tcPr>
          <w:p w14:paraId="5FF0820A" w14:textId="2CA7A8A5"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10%</w:t>
            </w:r>
          </w:p>
        </w:tc>
        <w:tc>
          <w:tcPr>
            <w:tcW w:w="494" w:type="pct"/>
            <w:vAlign w:val="center"/>
          </w:tcPr>
          <w:p w14:paraId="5EB0B869" w14:textId="060222BF"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10%</w:t>
            </w:r>
          </w:p>
        </w:tc>
        <w:tc>
          <w:tcPr>
            <w:tcW w:w="494" w:type="pct"/>
            <w:vAlign w:val="center"/>
          </w:tcPr>
          <w:p w14:paraId="28B99A24" w14:textId="2428A610"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80%</w:t>
            </w:r>
          </w:p>
        </w:tc>
      </w:tr>
      <w:tr w:rsidR="00022EAC" w:rsidRPr="00174ED0" w14:paraId="3BE8E50D" w14:textId="2B85973C" w:rsidTr="00C9100B">
        <w:trPr>
          <w:trHeight w:val="337"/>
        </w:trPr>
        <w:tc>
          <w:tcPr>
            <w:tcW w:w="508" w:type="pct"/>
            <w:shd w:val="clear" w:color="auto" w:fill="auto"/>
            <w:noWrap/>
            <w:vAlign w:val="center"/>
          </w:tcPr>
          <w:p w14:paraId="0E5B0FC3" w14:textId="5C586591" w:rsidR="002C466F" w:rsidRPr="00022EAC"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LT523</w:t>
            </w:r>
          </w:p>
        </w:tc>
        <w:tc>
          <w:tcPr>
            <w:tcW w:w="2337" w:type="pct"/>
            <w:shd w:val="clear" w:color="auto" w:fill="auto"/>
            <w:noWrap/>
            <w:vAlign w:val="center"/>
          </w:tcPr>
          <w:p w14:paraId="21BF1DD9" w14:textId="62B3C874"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30000 to &lt; 39000 lumens and &gt;= 125 LPW and &lt; 135 LPW</w:t>
            </w:r>
          </w:p>
        </w:tc>
        <w:tc>
          <w:tcPr>
            <w:tcW w:w="494" w:type="pct"/>
            <w:vAlign w:val="center"/>
          </w:tcPr>
          <w:p w14:paraId="63DA74D9" w14:textId="35199240"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Tier 1</w:t>
            </w:r>
          </w:p>
        </w:tc>
        <w:tc>
          <w:tcPr>
            <w:tcW w:w="674" w:type="pct"/>
            <w:vAlign w:val="center"/>
          </w:tcPr>
          <w:p w14:paraId="0D20A90D" w14:textId="1AA04366"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0%</w:t>
            </w:r>
          </w:p>
        </w:tc>
        <w:tc>
          <w:tcPr>
            <w:tcW w:w="494" w:type="pct"/>
            <w:vAlign w:val="center"/>
          </w:tcPr>
          <w:p w14:paraId="4F617F25" w14:textId="73529731"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0%</w:t>
            </w:r>
          </w:p>
        </w:tc>
        <w:tc>
          <w:tcPr>
            <w:tcW w:w="494" w:type="pct"/>
            <w:vAlign w:val="center"/>
          </w:tcPr>
          <w:p w14:paraId="3F07A66C" w14:textId="6DECBC2C"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100%</w:t>
            </w:r>
          </w:p>
        </w:tc>
      </w:tr>
      <w:tr w:rsidR="00022EAC" w:rsidRPr="00174ED0" w14:paraId="77994D2A" w14:textId="5BA4FFBB" w:rsidTr="00C9100B">
        <w:trPr>
          <w:trHeight w:val="337"/>
        </w:trPr>
        <w:tc>
          <w:tcPr>
            <w:tcW w:w="508" w:type="pct"/>
            <w:shd w:val="clear" w:color="auto" w:fill="auto"/>
            <w:noWrap/>
            <w:vAlign w:val="center"/>
          </w:tcPr>
          <w:p w14:paraId="70A7E7AE" w14:textId="5B9AC692" w:rsidR="002C466F" w:rsidRPr="00022EAC"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LT524</w:t>
            </w:r>
          </w:p>
        </w:tc>
        <w:tc>
          <w:tcPr>
            <w:tcW w:w="2337" w:type="pct"/>
            <w:shd w:val="clear" w:color="auto" w:fill="auto"/>
            <w:noWrap/>
            <w:vAlign w:val="center"/>
          </w:tcPr>
          <w:p w14:paraId="4237F405" w14:textId="3189D1B4"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39000 to &lt; 50700 lumens and &gt;= 125 LPW and &lt; 135 LPW</w:t>
            </w:r>
          </w:p>
        </w:tc>
        <w:tc>
          <w:tcPr>
            <w:tcW w:w="494" w:type="pct"/>
            <w:vAlign w:val="center"/>
          </w:tcPr>
          <w:p w14:paraId="55BBB125" w14:textId="118095FD"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Tier 1</w:t>
            </w:r>
          </w:p>
        </w:tc>
        <w:tc>
          <w:tcPr>
            <w:tcW w:w="674" w:type="pct"/>
            <w:vAlign w:val="center"/>
          </w:tcPr>
          <w:p w14:paraId="29BFDBC8" w14:textId="39AED7F5"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0%</w:t>
            </w:r>
          </w:p>
        </w:tc>
        <w:tc>
          <w:tcPr>
            <w:tcW w:w="494" w:type="pct"/>
            <w:vAlign w:val="center"/>
          </w:tcPr>
          <w:p w14:paraId="3A6D4B54" w14:textId="45A5EAD9"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0%</w:t>
            </w:r>
          </w:p>
        </w:tc>
        <w:tc>
          <w:tcPr>
            <w:tcW w:w="494" w:type="pct"/>
            <w:vAlign w:val="center"/>
          </w:tcPr>
          <w:p w14:paraId="63F399A0" w14:textId="38D73573"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100%</w:t>
            </w:r>
          </w:p>
        </w:tc>
      </w:tr>
      <w:tr w:rsidR="00022EAC" w:rsidRPr="00174ED0" w14:paraId="3DADD35F" w14:textId="07370751" w:rsidTr="00C9100B">
        <w:trPr>
          <w:trHeight w:val="337"/>
        </w:trPr>
        <w:tc>
          <w:tcPr>
            <w:tcW w:w="508" w:type="pct"/>
            <w:shd w:val="clear" w:color="auto" w:fill="auto"/>
            <w:noWrap/>
            <w:vAlign w:val="center"/>
          </w:tcPr>
          <w:p w14:paraId="4F322CEF" w14:textId="0C1E24AC" w:rsidR="002C466F" w:rsidRPr="00022EAC"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LT525</w:t>
            </w:r>
          </w:p>
        </w:tc>
        <w:tc>
          <w:tcPr>
            <w:tcW w:w="2337" w:type="pct"/>
            <w:shd w:val="clear" w:color="auto" w:fill="auto"/>
            <w:noWrap/>
            <w:vAlign w:val="center"/>
          </w:tcPr>
          <w:p w14:paraId="7F92CC20" w14:textId="1E6C0A97"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50700 to &lt; 65900 lumens and &gt;= 125 LPW and &lt; 130 LPW</w:t>
            </w:r>
          </w:p>
        </w:tc>
        <w:tc>
          <w:tcPr>
            <w:tcW w:w="494" w:type="pct"/>
            <w:vAlign w:val="center"/>
          </w:tcPr>
          <w:p w14:paraId="2A36D5CF" w14:textId="41850538"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Tier 1</w:t>
            </w:r>
          </w:p>
        </w:tc>
        <w:tc>
          <w:tcPr>
            <w:tcW w:w="674" w:type="pct"/>
            <w:vAlign w:val="center"/>
          </w:tcPr>
          <w:p w14:paraId="0E492597" w14:textId="2987399B"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0%</w:t>
            </w:r>
          </w:p>
        </w:tc>
        <w:tc>
          <w:tcPr>
            <w:tcW w:w="494" w:type="pct"/>
            <w:vAlign w:val="center"/>
          </w:tcPr>
          <w:p w14:paraId="4068F93F" w14:textId="4DAD9C96"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0%</w:t>
            </w:r>
          </w:p>
        </w:tc>
        <w:tc>
          <w:tcPr>
            <w:tcW w:w="494" w:type="pct"/>
            <w:vAlign w:val="center"/>
          </w:tcPr>
          <w:p w14:paraId="652053E3" w14:textId="4EC1C869"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100%</w:t>
            </w:r>
          </w:p>
        </w:tc>
      </w:tr>
      <w:tr w:rsidR="00022EAC" w:rsidRPr="00174ED0" w14:paraId="6BE7998C" w14:textId="38F20732" w:rsidTr="00C9100B">
        <w:trPr>
          <w:trHeight w:val="337"/>
        </w:trPr>
        <w:tc>
          <w:tcPr>
            <w:tcW w:w="508" w:type="pct"/>
            <w:shd w:val="clear" w:color="auto" w:fill="auto"/>
            <w:noWrap/>
            <w:vAlign w:val="center"/>
          </w:tcPr>
          <w:p w14:paraId="5092C525" w14:textId="67BC9E03" w:rsidR="002C466F" w:rsidRPr="00022EAC"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LT526</w:t>
            </w:r>
          </w:p>
        </w:tc>
        <w:tc>
          <w:tcPr>
            <w:tcW w:w="2337" w:type="pct"/>
            <w:shd w:val="clear" w:color="auto" w:fill="auto"/>
            <w:noWrap/>
            <w:vAlign w:val="center"/>
          </w:tcPr>
          <w:p w14:paraId="2D27D372" w14:textId="79B7B45C"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4500 to &lt; 5400 lumens and &gt;= 130 LPW</w:t>
            </w:r>
          </w:p>
        </w:tc>
        <w:tc>
          <w:tcPr>
            <w:tcW w:w="494" w:type="pct"/>
            <w:vAlign w:val="center"/>
          </w:tcPr>
          <w:p w14:paraId="248E54B3" w14:textId="6020AA1F"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Tier 2</w:t>
            </w:r>
          </w:p>
        </w:tc>
        <w:tc>
          <w:tcPr>
            <w:tcW w:w="674" w:type="pct"/>
            <w:vAlign w:val="center"/>
          </w:tcPr>
          <w:p w14:paraId="12DBC3FA" w14:textId="78EE3445"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1A3ED717" w14:textId="383591C1"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380ADB49" w14:textId="2495537B"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60%</w:t>
            </w:r>
          </w:p>
        </w:tc>
      </w:tr>
      <w:tr w:rsidR="00022EAC" w:rsidRPr="00174ED0" w14:paraId="6E73EB78" w14:textId="41DB2DBC" w:rsidTr="00C9100B">
        <w:trPr>
          <w:trHeight w:val="337"/>
        </w:trPr>
        <w:tc>
          <w:tcPr>
            <w:tcW w:w="508" w:type="pct"/>
            <w:shd w:val="clear" w:color="auto" w:fill="auto"/>
            <w:noWrap/>
            <w:vAlign w:val="center"/>
          </w:tcPr>
          <w:p w14:paraId="2EFA8799" w14:textId="736185B2" w:rsidR="002C466F" w:rsidRPr="00022EAC"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LT527</w:t>
            </w:r>
          </w:p>
        </w:tc>
        <w:tc>
          <w:tcPr>
            <w:tcW w:w="2337" w:type="pct"/>
            <w:shd w:val="clear" w:color="auto" w:fill="auto"/>
            <w:noWrap/>
            <w:vAlign w:val="center"/>
          </w:tcPr>
          <w:p w14:paraId="66ABF8C8" w14:textId="12E8F4A1"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5400 to &lt; 6500 lumens and &gt;= 130 LPW</w:t>
            </w:r>
          </w:p>
        </w:tc>
        <w:tc>
          <w:tcPr>
            <w:tcW w:w="494" w:type="pct"/>
            <w:vAlign w:val="center"/>
          </w:tcPr>
          <w:p w14:paraId="576CF6EB" w14:textId="74124E7F"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Tier 2</w:t>
            </w:r>
          </w:p>
        </w:tc>
        <w:tc>
          <w:tcPr>
            <w:tcW w:w="674" w:type="pct"/>
            <w:vAlign w:val="center"/>
          </w:tcPr>
          <w:p w14:paraId="5BF83C26" w14:textId="3D8CF777"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409F65C6" w14:textId="7F3427D4"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10766283" w14:textId="7CDB3A19"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60%</w:t>
            </w:r>
          </w:p>
        </w:tc>
      </w:tr>
      <w:tr w:rsidR="00022EAC" w:rsidRPr="00174ED0" w14:paraId="7EF7709A" w14:textId="45138869" w:rsidTr="00C9100B">
        <w:trPr>
          <w:trHeight w:val="337"/>
        </w:trPr>
        <w:tc>
          <w:tcPr>
            <w:tcW w:w="508" w:type="pct"/>
            <w:shd w:val="clear" w:color="auto" w:fill="auto"/>
            <w:noWrap/>
            <w:vAlign w:val="center"/>
          </w:tcPr>
          <w:p w14:paraId="701D3A20" w14:textId="6180D62C" w:rsidR="002C466F" w:rsidRPr="00022EAC"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LT528</w:t>
            </w:r>
          </w:p>
        </w:tc>
        <w:tc>
          <w:tcPr>
            <w:tcW w:w="2337" w:type="pct"/>
            <w:shd w:val="clear" w:color="auto" w:fill="auto"/>
            <w:noWrap/>
            <w:vAlign w:val="center"/>
          </w:tcPr>
          <w:p w14:paraId="2C2412F1" w14:textId="6BF02291"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6500 to &lt; 7800 lumens and &gt;= 130 LPW</w:t>
            </w:r>
          </w:p>
        </w:tc>
        <w:tc>
          <w:tcPr>
            <w:tcW w:w="494" w:type="pct"/>
            <w:vAlign w:val="center"/>
          </w:tcPr>
          <w:p w14:paraId="60F89AF9" w14:textId="772690ED"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Tier 2</w:t>
            </w:r>
          </w:p>
        </w:tc>
        <w:tc>
          <w:tcPr>
            <w:tcW w:w="674" w:type="pct"/>
            <w:vAlign w:val="center"/>
          </w:tcPr>
          <w:p w14:paraId="57FCC404" w14:textId="606E366C"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0D180C01" w14:textId="37A8D5E2"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1964EAE1" w14:textId="56954ACF"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60%</w:t>
            </w:r>
          </w:p>
        </w:tc>
      </w:tr>
      <w:tr w:rsidR="00022EAC" w:rsidRPr="00174ED0" w14:paraId="1CE0ADD7" w14:textId="19432DD2" w:rsidTr="00C9100B">
        <w:trPr>
          <w:trHeight w:val="337"/>
        </w:trPr>
        <w:tc>
          <w:tcPr>
            <w:tcW w:w="508" w:type="pct"/>
            <w:shd w:val="clear" w:color="auto" w:fill="auto"/>
            <w:noWrap/>
            <w:vAlign w:val="center"/>
          </w:tcPr>
          <w:p w14:paraId="75A7C7F7" w14:textId="36E58C0B" w:rsidR="002C466F" w:rsidRPr="00022EAC"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LT529</w:t>
            </w:r>
          </w:p>
        </w:tc>
        <w:tc>
          <w:tcPr>
            <w:tcW w:w="2337" w:type="pct"/>
            <w:shd w:val="clear" w:color="auto" w:fill="auto"/>
            <w:noWrap/>
            <w:vAlign w:val="center"/>
          </w:tcPr>
          <w:p w14:paraId="2BC76E56" w14:textId="12C6FFC1"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7800 to &lt; 9400 lumens and &gt;= 130 LPW</w:t>
            </w:r>
          </w:p>
        </w:tc>
        <w:tc>
          <w:tcPr>
            <w:tcW w:w="494" w:type="pct"/>
            <w:vAlign w:val="center"/>
          </w:tcPr>
          <w:p w14:paraId="749C394E" w14:textId="03B395FE"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Tier 2</w:t>
            </w:r>
          </w:p>
        </w:tc>
        <w:tc>
          <w:tcPr>
            <w:tcW w:w="674" w:type="pct"/>
            <w:vAlign w:val="center"/>
          </w:tcPr>
          <w:p w14:paraId="3F736F25" w14:textId="39D1BB51"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533011C3" w14:textId="741074D8"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41418657" w14:textId="3847FA39"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60%</w:t>
            </w:r>
          </w:p>
        </w:tc>
      </w:tr>
      <w:tr w:rsidR="00022EAC" w:rsidRPr="00174ED0" w14:paraId="4C7B49E3" w14:textId="2EFC87B0" w:rsidTr="00C9100B">
        <w:trPr>
          <w:trHeight w:val="337"/>
        </w:trPr>
        <w:tc>
          <w:tcPr>
            <w:tcW w:w="508" w:type="pct"/>
            <w:shd w:val="clear" w:color="auto" w:fill="auto"/>
            <w:noWrap/>
            <w:vAlign w:val="center"/>
          </w:tcPr>
          <w:p w14:paraId="7279C75A" w14:textId="2CD9E637" w:rsidR="002C466F" w:rsidRPr="00022EAC"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LT530</w:t>
            </w:r>
          </w:p>
        </w:tc>
        <w:tc>
          <w:tcPr>
            <w:tcW w:w="2337" w:type="pct"/>
            <w:shd w:val="clear" w:color="auto" w:fill="auto"/>
            <w:noWrap/>
            <w:vAlign w:val="center"/>
          </w:tcPr>
          <w:p w14:paraId="30FBF1E2" w14:textId="7868B768"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9400 to &lt; 11800 lumens and &gt;= 130 LPW</w:t>
            </w:r>
          </w:p>
        </w:tc>
        <w:tc>
          <w:tcPr>
            <w:tcW w:w="494" w:type="pct"/>
            <w:vAlign w:val="center"/>
          </w:tcPr>
          <w:p w14:paraId="705AFF84" w14:textId="4CAB2ADF"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Tier 2</w:t>
            </w:r>
          </w:p>
        </w:tc>
        <w:tc>
          <w:tcPr>
            <w:tcW w:w="674" w:type="pct"/>
            <w:vAlign w:val="center"/>
          </w:tcPr>
          <w:p w14:paraId="49DD2EE3" w14:textId="5ED04E9A"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332F55DA" w14:textId="4C15EC76"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28EE3977" w14:textId="3F9B787E"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60%</w:t>
            </w:r>
          </w:p>
        </w:tc>
      </w:tr>
      <w:tr w:rsidR="00022EAC" w:rsidRPr="00174ED0" w14:paraId="59121369" w14:textId="77777777" w:rsidTr="00C9100B">
        <w:trPr>
          <w:trHeight w:val="337"/>
        </w:trPr>
        <w:tc>
          <w:tcPr>
            <w:tcW w:w="508" w:type="pct"/>
            <w:shd w:val="clear" w:color="auto" w:fill="auto"/>
            <w:noWrap/>
            <w:vAlign w:val="center"/>
          </w:tcPr>
          <w:p w14:paraId="1F0A6845" w14:textId="54E4CE1B" w:rsidR="002C466F" w:rsidRPr="00022EAC"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LT531</w:t>
            </w:r>
          </w:p>
        </w:tc>
        <w:tc>
          <w:tcPr>
            <w:tcW w:w="2337" w:type="pct"/>
            <w:shd w:val="clear" w:color="auto" w:fill="auto"/>
            <w:noWrap/>
            <w:vAlign w:val="center"/>
          </w:tcPr>
          <w:p w14:paraId="6D4ED610" w14:textId="75BB29C3"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11800 to &lt; 14800 lumens and &gt;= 130 LPW</w:t>
            </w:r>
          </w:p>
        </w:tc>
        <w:tc>
          <w:tcPr>
            <w:tcW w:w="494" w:type="pct"/>
            <w:vAlign w:val="center"/>
          </w:tcPr>
          <w:p w14:paraId="04770A18" w14:textId="4B75DBD0"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Tier 2</w:t>
            </w:r>
          </w:p>
        </w:tc>
        <w:tc>
          <w:tcPr>
            <w:tcW w:w="674" w:type="pct"/>
            <w:vAlign w:val="center"/>
          </w:tcPr>
          <w:p w14:paraId="65CAEBF2" w14:textId="51662B32"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46EA53D7" w14:textId="20115244"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20%</w:t>
            </w:r>
          </w:p>
        </w:tc>
        <w:tc>
          <w:tcPr>
            <w:tcW w:w="494" w:type="pct"/>
            <w:vAlign w:val="center"/>
          </w:tcPr>
          <w:p w14:paraId="34CA89B7" w14:textId="5D628077" w:rsidR="002C466F" w:rsidRPr="00022EAC" w:rsidRDefault="002C466F" w:rsidP="00D154B6">
            <w:pPr>
              <w:jc w:val="center"/>
              <w:rPr>
                <w:rFonts w:ascii="Arial" w:hAnsi="Arial" w:cs="Arial"/>
                <w:color w:val="000000"/>
                <w:sz w:val="19"/>
                <w:szCs w:val="19"/>
              </w:rPr>
            </w:pPr>
            <w:r w:rsidRPr="00022EAC">
              <w:rPr>
                <w:rFonts w:ascii="Arial" w:hAnsi="Arial" w:cs="Arial"/>
                <w:color w:val="000000"/>
                <w:sz w:val="19"/>
                <w:szCs w:val="19"/>
              </w:rPr>
              <w:t>60%</w:t>
            </w:r>
          </w:p>
        </w:tc>
      </w:tr>
      <w:tr w:rsidR="00022EAC" w:rsidRPr="00174ED0" w14:paraId="0DEC9BF3" w14:textId="77777777" w:rsidTr="00C9100B">
        <w:trPr>
          <w:trHeight w:val="337"/>
        </w:trPr>
        <w:tc>
          <w:tcPr>
            <w:tcW w:w="508" w:type="pct"/>
            <w:shd w:val="clear" w:color="auto" w:fill="auto"/>
            <w:noWrap/>
            <w:vAlign w:val="center"/>
          </w:tcPr>
          <w:p w14:paraId="4CE64B80" w14:textId="7E88AB51" w:rsidR="002C466F" w:rsidRPr="00022EAC" w:rsidDel="00CF3718"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LT532</w:t>
            </w:r>
          </w:p>
        </w:tc>
        <w:tc>
          <w:tcPr>
            <w:tcW w:w="2337" w:type="pct"/>
            <w:shd w:val="clear" w:color="auto" w:fill="auto"/>
            <w:noWrap/>
            <w:vAlign w:val="center"/>
          </w:tcPr>
          <w:p w14:paraId="39EB43D1" w14:textId="6A02D380"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14800 to &lt; 18500 lumens and &gt;= 130 LPW</w:t>
            </w:r>
          </w:p>
        </w:tc>
        <w:tc>
          <w:tcPr>
            <w:tcW w:w="494" w:type="pct"/>
            <w:vAlign w:val="center"/>
          </w:tcPr>
          <w:p w14:paraId="11958C5C" w14:textId="0E85680A"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Tier 2</w:t>
            </w:r>
          </w:p>
        </w:tc>
        <w:tc>
          <w:tcPr>
            <w:tcW w:w="674" w:type="pct"/>
            <w:vAlign w:val="center"/>
          </w:tcPr>
          <w:p w14:paraId="31365A53" w14:textId="16E4CBF0"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10%</w:t>
            </w:r>
          </w:p>
        </w:tc>
        <w:tc>
          <w:tcPr>
            <w:tcW w:w="494" w:type="pct"/>
            <w:vAlign w:val="center"/>
          </w:tcPr>
          <w:p w14:paraId="0D33DEC6" w14:textId="62707234"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10%</w:t>
            </w:r>
          </w:p>
        </w:tc>
        <w:tc>
          <w:tcPr>
            <w:tcW w:w="494" w:type="pct"/>
            <w:vAlign w:val="center"/>
          </w:tcPr>
          <w:p w14:paraId="19F60363" w14:textId="0EDA21B1"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80%</w:t>
            </w:r>
          </w:p>
        </w:tc>
      </w:tr>
      <w:tr w:rsidR="00022EAC" w:rsidRPr="00174ED0" w14:paraId="3DAFAE4A" w14:textId="77777777" w:rsidTr="00C9100B">
        <w:trPr>
          <w:trHeight w:val="337"/>
        </w:trPr>
        <w:tc>
          <w:tcPr>
            <w:tcW w:w="508" w:type="pct"/>
            <w:shd w:val="clear" w:color="auto" w:fill="auto"/>
            <w:noWrap/>
            <w:vAlign w:val="center"/>
          </w:tcPr>
          <w:p w14:paraId="4927687B" w14:textId="74E6DED2" w:rsidR="002C466F" w:rsidRPr="00022EAC" w:rsidDel="00CF3718"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LT533</w:t>
            </w:r>
          </w:p>
        </w:tc>
        <w:tc>
          <w:tcPr>
            <w:tcW w:w="2337" w:type="pct"/>
            <w:shd w:val="clear" w:color="auto" w:fill="auto"/>
            <w:noWrap/>
            <w:vAlign w:val="center"/>
          </w:tcPr>
          <w:p w14:paraId="07E02129" w14:textId="0978CED0"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18500 to &lt; 23100 lumens and &gt;= 130 LPW</w:t>
            </w:r>
          </w:p>
        </w:tc>
        <w:tc>
          <w:tcPr>
            <w:tcW w:w="494" w:type="pct"/>
            <w:vAlign w:val="center"/>
          </w:tcPr>
          <w:p w14:paraId="3C64D9A4" w14:textId="2EF4F1D2"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Tier 2</w:t>
            </w:r>
          </w:p>
        </w:tc>
        <w:tc>
          <w:tcPr>
            <w:tcW w:w="674" w:type="pct"/>
            <w:vAlign w:val="center"/>
          </w:tcPr>
          <w:p w14:paraId="03FE47D1" w14:textId="614B2CE2"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10%</w:t>
            </w:r>
          </w:p>
        </w:tc>
        <w:tc>
          <w:tcPr>
            <w:tcW w:w="494" w:type="pct"/>
            <w:vAlign w:val="center"/>
          </w:tcPr>
          <w:p w14:paraId="4D15CB3B" w14:textId="1C05D30A"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10%</w:t>
            </w:r>
          </w:p>
        </w:tc>
        <w:tc>
          <w:tcPr>
            <w:tcW w:w="494" w:type="pct"/>
            <w:vAlign w:val="center"/>
          </w:tcPr>
          <w:p w14:paraId="58227A03" w14:textId="267DE08E"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80%</w:t>
            </w:r>
          </w:p>
        </w:tc>
      </w:tr>
      <w:tr w:rsidR="00022EAC" w:rsidRPr="00174ED0" w14:paraId="4F3D725E" w14:textId="77777777" w:rsidTr="00C9100B">
        <w:trPr>
          <w:trHeight w:val="337"/>
        </w:trPr>
        <w:tc>
          <w:tcPr>
            <w:tcW w:w="508" w:type="pct"/>
            <w:shd w:val="clear" w:color="auto" w:fill="auto"/>
            <w:noWrap/>
            <w:vAlign w:val="center"/>
          </w:tcPr>
          <w:p w14:paraId="17BE27A0" w14:textId="72C44371" w:rsidR="002C466F" w:rsidRPr="00022EAC" w:rsidDel="00CF3718"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LT534</w:t>
            </w:r>
          </w:p>
        </w:tc>
        <w:tc>
          <w:tcPr>
            <w:tcW w:w="2337" w:type="pct"/>
            <w:shd w:val="clear" w:color="auto" w:fill="auto"/>
            <w:noWrap/>
            <w:vAlign w:val="center"/>
          </w:tcPr>
          <w:p w14:paraId="7502D753" w14:textId="7AA2B7F5"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23100 to &lt; 30000 lumens and &gt;= 135 LPW</w:t>
            </w:r>
          </w:p>
        </w:tc>
        <w:tc>
          <w:tcPr>
            <w:tcW w:w="494" w:type="pct"/>
            <w:vAlign w:val="center"/>
          </w:tcPr>
          <w:p w14:paraId="090B7FD2" w14:textId="05EDC2E2"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Tier 2</w:t>
            </w:r>
          </w:p>
        </w:tc>
        <w:tc>
          <w:tcPr>
            <w:tcW w:w="674" w:type="pct"/>
            <w:vAlign w:val="center"/>
          </w:tcPr>
          <w:p w14:paraId="193347B9" w14:textId="461C6AB9"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10%</w:t>
            </w:r>
          </w:p>
        </w:tc>
        <w:tc>
          <w:tcPr>
            <w:tcW w:w="494" w:type="pct"/>
            <w:vAlign w:val="center"/>
          </w:tcPr>
          <w:p w14:paraId="5F535308" w14:textId="4B370B74"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10%</w:t>
            </w:r>
          </w:p>
        </w:tc>
        <w:tc>
          <w:tcPr>
            <w:tcW w:w="494" w:type="pct"/>
            <w:vAlign w:val="center"/>
          </w:tcPr>
          <w:p w14:paraId="1AA5370B" w14:textId="19BF4F96"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80%</w:t>
            </w:r>
          </w:p>
        </w:tc>
      </w:tr>
      <w:tr w:rsidR="00022EAC" w:rsidRPr="00174ED0" w14:paraId="61FAD685" w14:textId="77777777" w:rsidTr="00C9100B">
        <w:trPr>
          <w:trHeight w:val="337"/>
        </w:trPr>
        <w:tc>
          <w:tcPr>
            <w:tcW w:w="508" w:type="pct"/>
            <w:shd w:val="clear" w:color="auto" w:fill="auto"/>
            <w:noWrap/>
            <w:vAlign w:val="center"/>
          </w:tcPr>
          <w:p w14:paraId="03596408" w14:textId="188A3B72" w:rsidR="002C466F" w:rsidRPr="00022EAC" w:rsidDel="00CF3718"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LT535</w:t>
            </w:r>
          </w:p>
        </w:tc>
        <w:tc>
          <w:tcPr>
            <w:tcW w:w="2337" w:type="pct"/>
            <w:shd w:val="clear" w:color="auto" w:fill="auto"/>
            <w:noWrap/>
            <w:vAlign w:val="center"/>
          </w:tcPr>
          <w:p w14:paraId="175F3F41" w14:textId="4F782D43"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30000 to &lt; 39000 lumens and &gt;= 135 LPW</w:t>
            </w:r>
          </w:p>
        </w:tc>
        <w:tc>
          <w:tcPr>
            <w:tcW w:w="494" w:type="pct"/>
            <w:vAlign w:val="center"/>
          </w:tcPr>
          <w:p w14:paraId="3C0A6ADE" w14:textId="0D5A176B"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Tier 2</w:t>
            </w:r>
          </w:p>
        </w:tc>
        <w:tc>
          <w:tcPr>
            <w:tcW w:w="674" w:type="pct"/>
            <w:vAlign w:val="center"/>
          </w:tcPr>
          <w:p w14:paraId="76B2A0B6" w14:textId="5B5CFD4A"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0%</w:t>
            </w:r>
          </w:p>
        </w:tc>
        <w:tc>
          <w:tcPr>
            <w:tcW w:w="494" w:type="pct"/>
            <w:vAlign w:val="center"/>
          </w:tcPr>
          <w:p w14:paraId="3DCC4CB2" w14:textId="196DEAE2"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0%</w:t>
            </w:r>
          </w:p>
        </w:tc>
        <w:tc>
          <w:tcPr>
            <w:tcW w:w="494" w:type="pct"/>
            <w:vAlign w:val="center"/>
          </w:tcPr>
          <w:p w14:paraId="61A715C3" w14:textId="28D8A244"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100%</w:t>
            </w:r>
          </w:p>
        </w:tc>
      </w:tr>
      <w:tr w:rsidR="00022EAC" w:rsidRPr="00174ED0" w14:paraId="5AAE64A9" w14:textId="77777777" w:rsidTr="00C9100B">
        <w:trPr>
          <w:trHeight w:val="337"/>
        </w:trPr>
        <w:tc>
          <w:tcPr>
            <w:tcW w:w="508" w:type="pct"/>
            <w:shd w:val="clear" w:color="auto" w:fill="auto"/>
            <w:noWrap/>
            <w:vAlign w:val="center"/>
          </w:tcPr>
          <w:p w14:paraId="6F048FBE" w14:textId="66CDA7E9" w:rsidR="002C466F" w:rsidRPr="00022EAC" w:rsidDel="00CF3718"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LT536</w:t>
            </w:r>
          </w:p>
        </w:tc>
        <w:tc>
          <w:tcPr>
            <w:tcW w:w="2337" w:type="pct"/>
            <w:shd w:val="clear" w:color="auto" w:fill="auto"/>
            <w:noWrap/>
            <w:vAlign w:val="center"/>
          </w:tcPr>
          <w:p w14:paraId="1D0B6DA7" w14:textId="506D3589"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39000 to &lt; 50700 lumens and &gt;= 135 LPW</w:t>
            </w:r>
          </w:p>
        </w:tc>
        <w:tc>
          <w:tcPr>
            <w:tcW w:w="494" w:type="pct"/>
            <w:vAlign w:val="center"/>
          </w:tcPr>
          <w:p w14:paraId="5A7A5C6F" w14:textId="54412A01"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Tier 2</w:t>
            </w:r>
          </w:p>
        </w:tc>
        <w:tc>
          <w:tcPr>
            <w:tcW w:w="674" w:type="pct"/>
            <w:vAlign w:val="center"/>
          </w:tcPr>
          <w:p w14:paraId="2338F414" w14:textId="19D5CD18"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0%</w:t>
            </w:r>
          </w:p>
        </w:tc>
        <w:tc>
          <w:tcPr>
            <w:tcW w:w="494" w:type="pct"/>
            <w:vAlign w:val="center"/>
          </w:tcPr>
          <w:p w14:paraId="5AF8705E" w14:textId="3A29C2A6"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0%</w:t>
            </w:r>
          </w:p>
        </w:tc>
        <w:tc>
          <w:tcPr>
            <w:tcW w:w="494" w:type="pct"/>
            <w:vAlign w:val="center"/>
          </w:tcPr>
          <w:p w14:paraId="07FB9C78" w14:textId="6F1D253B"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100%</w:t>
            </w:r>
          </w:p>
        </w:tc>
      </w:tr>
      <w:tr w:rsidR="00022EAC" w:rsidRPr="00174ED0" w14:paraId="11CF8190" w14:textId="77777777" w:rsidTr="00C9100B">
        <w:trPr>
          <w:trHeight w:val="337"/>
        </w:trPr>
        <w:tc>
          <w:tcPr>
            <w:tcW w:w="508" w:type="pct"/>
            <w:shd w:val="clear" w:color="auto" w:fill="auto"/>
            <w:noWrap/>
            <w:vAlign w:val="center"/>
          </w:tcPr>
          <w:p w14:paraId="6F5882A8" w14:textId="5F0F61D8" w:rsidR="002C466F" w:rsidRPr="00022EAC" w:rsidDel="00CF3718" w:rsidRDefault="00D154B6" w:rsidP="00D154B6">
            <w:pPr>
              <w:autoSpaceDE w:val="0"/>
              <w:autoSpaceDN w:val="0"/>
              <w:jc w:val="center"/>
              <w:rPr>
                <w:rFonts w:ascii="Arial" w:hAnsi="Arial" w:cs="Arial"/>
                <w:color w:val="000000"/>
                <w:sz w:val="19"/>
                <w:szCs w:val="19"/>
              </w:rPr>
            </w:pPr>
            <w:r w:rsidRPr="00022EAC">
              <w:rPr>
                <w:rFonts w:ascii="Arial" w:hAnsi="Arial" w:cs="Arial"/>
                <w:color w:val="000000"/>
                <w:sz w:val="19"/>
                <w:szCs w:val="19"/>
              </w:rPr>
              <w:t>LT537</w:t>
            </w:r>
          </w:p>
        </w:tc>
        <w:tc>
          <w:tcPr>
            <w:tcW w:w="2337" w:type="pct"/>
            <w:shd w:val="clear" w:color="auto" w:fill="auto"/>
            <w:noWrap/>
            <w:vAlign w:val="center"/>
          </w:tcPr>
          <w:p w14:paraId="31994A03" w14:textId="08ABAC94"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 xml:space="preserve">LED </w:t>
            </w:r>
            <w:proofErr w:type="spellStart"/>
            <w:r w:rsidRPr="00022EAC">
              <w:rPr>
                <w:rFonts w:ascii="Arial" w:hAnsi="Arial" w:cs="Arial"/>
                <w:color w:val="000000"/>
                <w:sz w:val="19"/>
                <w:szCs w:val="19"/>
              </w:rPr>
              <w:t>HighBay</w:t>
            </w:r>
            <w:proofErr w:type="spellEnd"/>
            <w:r w:rsidRPr="00022EAC">
              <w:rPr>
                <w:rFonts w:ascii="Arial" w:hAnsi="Arial" w:cs="Arial"/>
                <w:color w:val="000000"/>
                <w:sz w:val="19"/>
                <w:szCs w:val="19"/>
              </w:rPr>
              <w:t xml:space="preserve"> luminaire rated from 50700 to &lt; 65900 </w:t>
            </w:r>
            <w:r w:rsidRPr="00022EAC">
              <w:rPr>
                <w:rFonts w:ascii="Arial" w:hAnsi="Arial" w:cs="Arial"/>
                <w:color w:val="000000"/>
                <w:sz w:val="19"/>
                <w:szCs w:val="19"/>
              </w:rPr>
              <w:lastRenderedPageBreak/>
              <w:t>lumens and &gt;= 135 LPW</w:t>
            </w:r>
          </w:p>
        </w:tc>
        <w:tc>
          <w:tcPr>
            <w:tcW w:w="494" w:type="pct"/>
            <w:vAlign w:val="center"/>
          </w:tcPr>
          <w:p w14:paraId="60B92CFB" w14:textId="62F542CD"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lastRenderedPageBreak/>
              <w:t>Tier 2</w:t>
            </w:r>
          </w:p>
        </w:tc>
        <w:tc>
          <w:tcPr>
            <w:tcW w:w="674" w:type="pct"/>
            <w:vAlign w:val="center"/>
          </w:tcPr>
          <w:p w14:paraId="3AFF757F" w14:textId="4C2A3AD9"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0%</w:t>
            </w:r>
          </w:p>
        </w:tc>
        <w:tc>
          <w:tcPr>
            <w:tcW w:w="494" w:type="pct"/>
            <w:vAlign w:val="center"/>
          </w:tcPr>
          <w:p w14:paraId="754B5A95" w14:textId="0B207EC3"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0%</w:t>
            </w:r>
          </w:p>
        </w:tc>
        <w:tc>
          <w:tcPr>
            <w:tcW w:w="494" w:type="pct"/>
            <w:vAlign w:val="center"/>
          </w:tcPr>
          <w:p w14:paraId="66DEF0FA" w14:textId="78ABAFD7" w:rsidR="002C466F" w:rsidRPr="00022EAC" w:rsidDel="00CF3718" w:rsidRDefault="002C466F" w:rsidP="00D154B6">
            <w:pPr>
              <w:jc w:val="center"/>
              <w:rPr>
                <w:rFonts w:ascii="Arial" w:hAnsi="Arial" w:cs="Arial"/>
                <w:color w:val="000000"/>
                <w:sz w:val="19"/>
                <w:szCs w:val="19"/>
              </w:rPr>
            </w:pPr>
            <w:r w:rsidRPr="00022EAC">
              <w:rPr>
                <w:rFonts w:ascii="Arial" w:hAnsi="Arial" w:cs="Arial"/>
                <w:color w:val="000000"/>
                <w:sz w:val="19"/>
                <w:szCs w:val="19"/>
              </w:rPr>
              <w:t>100%</w:t>
            </w:r>
          </w:p>
        </w:tc>
      </w:tr>
    </w:tbl>
    <w:p w14:paraId="08DD99CA" w14:textId="77777777" w:rsidR="00570F86" w:rsidRDefault="00570F86" w:rsidP="00E332F9">
      <w:pPr>
        <w:rPr>
          <w:rFonts w:ascii="Arial" w:hAnsi="Arial" w:cs="Arial"/>
          <w:sz w:val="20"/>
          <w:szCs w:val="20"/>
        </w:rPr>
      </w:pPr>
    </w:p>
    <w:p w14:paraId="7E57B6DB" w14:textId="712AC8C1" w:rsidR="0055659A" w:rsidRDefault="0055659A" w:rsidP="00CF3718">
      <w:pPr>
        <w:pStyle w:val="Heading3"/>
        <w:spacing w:before="0"/>
      </w:pPr>
      <w:bookmarkStart w:id="100" w:name="_Toc511038040"/>
      <w:bookmarkStart w:id="101" w:name="_Toc2804914"/>
      <w:r>
        <w:t>1.6.2 Inclusion of Early Retirement (ER)/Accelerated Replacement (AR) Measure Application Type</w:t>
      </w:r>
      <w:bookmarkEnd w:id="100"/>
      <w:bookmarkEnd w:id="101"/>
    </w:p>
    <w:p w14:paraId="4390627E" w14:textId="0277DA90" w:rsidR="0055659A" w:rsidRDefault="0072168D" w:rsidP="00E332F9">
      <w:pPr>
        <w:rPr>
          <w:rFonts w:ascii="Arial" w:hAnsi="Arial"/>
          <w:sz w:val="20"/>
        </w:rPr>
      </w:pPr>
      <w:r>
        <w:rPr>
          <w:rFonts w:ascii="Arial" w:hAnsi="Arial" w:cs="Arial"/>
          <w:sz w:val="20"/>
          <w:szCs w:val="20"/>
        </w:rPr>
        <w:t>The IOUS are</w:t>
      </w:r>
      <w:r w:rsidR="0055659A">
        <w:rPr>
          <w:rFonts w:ascii="Arial" w:hAnsi="Arial" w:cs="Arial"/>
          <w:sz w:val="20"/>
          <w:szCs w:val="20"/>
        </w:rPr>
        <w:t xml:space="preserve"> currently investigating ER/AR measure application type offering for the next iteration of the workpaper.  The analysis will be derived from reviewing </w:t>
      </w:r>
      <w:r>
        <w:rPr>
          <w:rFonts w:ascii="Arial" w:hAnsi="Arial" w:cs="Arial"/>
          <w:sz w:val="20"/>
          <w:szCs w:val="20"/>
        </w:rPr>
        <w:t xml:space="preserve">market studies, </w:t>
      </w:r>
      <w:r w:rsidR="0055659A">
        <w:rPr>
          <w:rFonts w:ascii="Arial" w:hAnsi="Arial" w:cs="Arial"/>
          <w:sz w:val="20"/>
          <w:szCs w:val="20"/>
        </w:rPr>
        <w:t>ER custom applications with a focus on customer segment(s) and geographical location(s).</w:t>
      </w:r>
      <w:r w:rsidR="00CB1003">
        <w:rPr>
          <w:rFonts w:ascii="Arial" w:hAnsi="Arial" w:cs="Arial"/>
          <w:sz w:val="20"/>
          <w:szCs w:val="20"/>
        </w:rPr>
        <w:t xml:space="preserve">  </w:t>
      </w:r>
      <w:r w:rsidR="00CB1003" w:rsidRPr="0057072C">
        <w:rPr>
          <w:rFonts w:ascii="Arial" w:hAnsi="Arial"/>
          <w:sz w:val="20"/>
        </w:rPr>
        <w:t>Resolution E-4818</w:t>
      </w:r>
      <w:r w:rsidR="00A476DC">
        <w:rPr>
          <w:rFonts w:ascii="Arial" w:hAnsi="Arial"/>
          <w:sz w:val="20"/>
        </w:rPr>
        <w:t xml:space="preserve"> and Track 2 Working Group</w:t>
      </w:r>
      <w:r w:rsidR="00CB1003" w:rsidRPr="0057072C">
        <w:rPr>
          <w:rFonts w:ascii="Arial" w:hAnsi="Arial"/>
          <w:sz w:val="20"/>
        </w:rPr>
        <w:t xml:space="preserve"> begins to set a framework for deemed program level ER adoption for Preponderance of Evidence.  </w:t>
      </w:r>
      <w:r w:rsidR="00A476DC">
        <w:rPr>
          <w:rFonts w:ascii="Arial" w:hAnsi="Arial"/>
          <w:sz w:val="20"/>
        </w:rPr>
        <w:t>Further Commission Staff guidance on ER will be forthcoming and incorporated into the final development of ER measure application type for deemed.</w:t>
      </w:r>
    </w:p>
    <w:p w14:paraId="3C72B0B3" w14:textId="77777777" w:rsidR="00614BB7" w:rsidRPr="00614BB7" w:rsidRDefault="00614BB7" w:rsidP="00614BB7">
      <w:pPr>
        <w:spacing w:before="60"/>
        <w:rPr>
          <w:rFonts w:ascii="Arial" w:hAnsi="Arial" w:cs="Arial"/>
          <w:color w:val="FF0000"/>
          <w:sz w:val="20"/>
        </w:rPr>
      </w:pPr>
      <w:r w:rsidRPr="00614BB7">
        <w:rPr>
          <w:rFonts w:ascii="Arial" w:hAnsi="Arial" w:cs="Arial"/>
          <w:sz w:val="20"/>
        </w:rPr>
        <w:t>Subsequently CPUC issued an E-4939 Draft Comment Resolution on October 11, 2018, addressing Track 2 Working Group related energy efficiency issues pursuant to D.16-08-019 and Resolution E-4818. In the draft Resolution E-4939’s section 3.2.3 Task 3 Conclusions stated “…..However, as to the proposal’s evidentiary requirements for demonstration of equipment viability and program influence, the POE requirement to demonstrate equipment viability and program influence for accelerated replacements shall meet the requirements in Task 2 to be addressed in a future resolution” (last paragraph on p.27).</w:t>
      </w:r>
    </w:p>
    <w:p w14:paraId="48C804F3" w14:textId="77777777" w:rsidR="00614BB7" w:rsidRPr="0057072C" w:rsidRDefault="00614BB7" w:rsidP="00E332F9">
      <w:pPr>
        <w:rPr>
          <w:rFonts w:ascii="Arial" w:hAnsi="Arial" w:cs="Arial"/>
          <w:sz w:val="20"/>
          <w:szCs w:val="20"/>
        </w:rPr>
      </w:pPr>
    </w:p>
    <w:p w14:paraId="1230CBB8" w14:textId="539E4585" w:rsidR="00E332F9" w:rsidRPr="00614D6C" w:rsidRDefault="00134D67" w:rsidP="00134D67">
      <w:pPr>
        <w:pStyle w:val="Heading3"/>
      </w:pPr>
      <w:bookmarkStart w:id="102" w:name="_Toc511038041"/>
      <w:bookmarkStart w:id="103" w:name="_Ref511172416"/>
      <w:bookmarkStart w:id="104" w:name="_Toc2804915"/>
      <w:r w:rsidRPr="0057072C">
        <w:t>1.6.3 Product</w:t>
      </w:r>
      <w:r w:rsidR="00614D6C" w:rsidRPr="0057072C">
        <w:t xml:space="preserve"> ID Collection Process</w:t>
      </w:r>
      <w:bookmarkEnd w:id="102"/>
      <w:bookmarkEnd w:id="103"/>
      <w:bookmarkEnd w:id="104"/>
    </w:p>
    <w:p w14:paraId="73592701" w14:textId="1FA806E3" w:rsidR="008C094E" w:rsidRDefault="00614D6C" w:rsidP="00710061">
      <w:pPr>
        <w:rPr>
          <w:highlight w:val="yellow"/>
        </w:rPr>
      </w:pPr>
      <w:r w:rsidRPr="00614D6C">
        <w:rPr>
          <w:rFonts w:ascii="Arial" w:hAnsi="Arial" w:cs="Arial"/>
          <w:sz w:val="20"/>
        </w:rPr>
        <w:t xml:space="preserve">As part of the IOUs’ future data needs, a more robust process to collect product information from program data is being implemented. It has been an ongoing challenge to run data analytics on existing Program data due to model number discrepancies from rebate application invoices and the DLC QPL. In order to address this challenge, IOUs propose to collect the unique DLC product ID in rebate applications. This unique identifier has no variation and can easily be used to match product information from program data to the performance metrics of these products listed on the DLC QPL. Collecting this additional information will allow IOU Programs to analyze program data for </w:t>
      </w:r>
      <w:r w:rsidR="0072168D">
        <w:rPr>
          <w:rFonts w:ascii="Arial" w:hAnsi="Arial" w:cs="Arial"/>
          <w:sz w:val="20"/>
        </w:rPr>
        <w:t xml:space="preserve">cost and </w:t>
      </w:r>
      <w:r w:rsidRPr="00614D6C">
        <w:rPr>
          <w:rFonts w:ascii="Arial" w:hAnsi="Arial" w:cs="Arial"/>
          <w:sz w:val="20"/>
        </w:rPr>
        <w:t xml:space="preserve">savings calculations </w:t>
      </w:r>
      <w:r w:rsidR="0072168D">
        <w:rPr>
          <w:rFonts w:ascii="Arial" w:hAnsi="Arial" w:cs="Arial"/>
          <w:sz w:val="20"/>
        </w:rPr>
        <w:t>for</w:t>
      </w:r>
      <w:r w:rsidRPr="00614D6C">
        <w:rPr>
          <w:rFonts w:ascii="Arial" w:hAnsi="Arial" w:cs="Arial"/>
          <w:sz w:val="20"/>
        </w:rPr>
        <w:t xml:space="preserve"> future workpaper updates.</w:t>
      </w:r>
    </w:p>
    <w:p w14:paraId="2318B5CC" w14:textId="559E910A" w:rsidR="00AF44E8" w:rsidRDefault="00414E64" w:rsidP="00E079AA">
      <w:pPr>
        <w:pStyle w:val="Heading3"/>
      </w:pPr>
      <w:bookmarkStart w:id="105" w:name="_Toc511038043"/>
      <w:bookmarkStart w:id="106" w:name="_Ref510940043"/>
      <w:bookmarkStart w:id="107" w:name="_Toc2804916"/>
      <w:r w:rsidRPr="00A81C79">
        <w:t>1.6.</w:t>
      </w:r>
      <w:r w:rsidR="00614BB7">
        <w:t>4</w:t>
      </w:r>
      <w:r w:rsidRPr="00A81C79">
        <w:t xml:space="preserve"> </w:t>
      </w:r>
      <w:r w:rsidR="00AF44E8">
        <w:t>Lighting</w:t>
      </w:r>
      <w:r w:rsidR="004075BD">
        <w:t xml:space="preserve"> </w:t>
      </w:r>
      <w:r w:rsidR="00AF44E8">
        <w:t>Facts LED Database</w:t>
      </w:r>
      <w:bookmarkEnd w:id="105"/>
      <w:bookmarkEnd w:id="107"/>
    </w:p>
    <w:p w14:paraId="5145F0A3" w14:textId="790F320C" w:rsidR="00AF44E8" w:rsidRPr="00AF44E8" w:rsidRDefault="00AF44E8" w:rsidP="00AF44E8">
      <w:pPr>
        <w:rPr>
          <w:rFonts w:ascii="Arial" w:hAnsi="Arial" w:cs="Arial"/>
          <w:sz w:val="20"/>
          <w:szCs w:val="20"/>
        </w:rPr>
      </w:pPr>
      <w:r w:rsidRPr="00AF44E8">
        <w:rPr>
          <w:rFonts w:ascii="Arial" w:hAnsi="Arial" w:cs="Arial"/>
          <w:sz w:val="20"/>
          <w:szCs w:val="20"/>
        </w:rPr>
        <w:t>Lighting</w:t>
      </w:r>
      <w:r w:rsidR="004075BD">
        <w:rPr>
          <w:rFonts w:ascii="Arial" w:hAnsi="Arial" w:cs="Arial"/>
          <w:sz w:val="20"/>
          <w:szCs w:val="20"/>
        </w:rPr>
        <w:t xml:space="preserve"> </w:t>
      </w:r>
      <w:r w:rsidRPr="00AF44E8">
        <w:rPr>
          <w:rFonts w:ascii="Arial" w:hAnsi="Arial" w:cs="Arial"/>
          <w:sz w:val="20"/>
          <w:szCs w:val="20"/>
        </w:rPr>
        <w:t>Facts offers many benefits as a data source for a full characterization of the LED market:</w:t>
      </w:r>
    </w:p>
    <w:p w14:paraId="032D7AE1" w14:textId="17662D1E" w:rsidR="00AF44E8" w:rsidRPr="00AF44E8" w:rsidRDefault="00FC1C58" w:rsidP="006666F0">
      <w:pPr>
        <w:pStyle w:val="ListParagraph"/>
        <w:numPr>
          <w:ilvl w:val="0"/>
          <w:numId w:val="17"/>
        </w:numPr>
        <w:rPr>
          <w:rFonts w:ascii="Arial" w:hAnsi="Arial" w:cs="Arial"/>
          <w:sz w:val="20"/>
          <w:szCs w:val="20"/>
        </w:rPr>
      </w:pPr>
      <w:r>
        <w:rPr>
          <w:rFonts w:ascii="Arial" w:hAnsi="Arial" w:cs="Arial"/>
          <w:sz w:val="20"/>
          <w:szCs w:val="20"/>
        </w:rPr>
        <w:t>A wide range of p</w:t>
      </w:r>
      <w:r w:rsidR="00AF44E8" w:rsidRPr="00AF44E8">
        <w:rPr>
          <w:rFonts w:ascii="Arial" w:hAnsi="Arial" w:cs="Arial"/>
          <w:sz w:val="20"/>
          <w:szCs w:val="20"/>
        </w:rPr>
        <w:t>roduct offerings</w:t>
      </w:r>
      <w:r>
        <w:rPr>
          <w:rFonts w:ascii="Arial" w:hAnsi="Arial" w:cs="Arial"/>
          <w:sz w:val="20"/>
          <w:szCs w:val="20"/>
        </w:rPr>
        <w:t xml:space="preserve"> as of March 2018</w:t>
      </w:r>
    </w:p>
    <w:p w14:paraId="02CFBF2B" w14:textId="785E6CF9" w:rsidR="00AF44E8" w:rsidRPr="00AF44E8" w:rsidRDefault="00AF44E8" w:rsidP="006666F0">
      <w:pPr>
        <w:pStyle w:val="ListParagraph"/>
        <w:numPr>
          <w:ilvl w:val="0"/>
          <w:numId w:val="17"/>
        </w:numPr>
        <w:rPr>
          <w:rFonts w:ascii="Arial" w:hAnsi="Arial" w:cs="Arial"/>
          <w:sz w:val="20"/>
          <w:szCs w:val="20"/>
        </w:rPr>
      </w:pPr>
      <w:r w:rsidRPr="00AF44E8">
        <w:rPr>
          <w:rFonts w:ascii="Arial" w:hAnsi="Arial" w:cs="Arial"/>
          <w:sz w:val="20"/>
          <w:szCs w:val="20"/>
        </w:rPr>
        <w:t>Large sample size (~</w:t>
      </w:r>
      <w:r w:rsidR="00E77B0E">
        <w:rPr>
          <w:rFonts w:ascii="Arial" w:hAnsi="Arial" w:cs="Arial"/>
          <w:sz w:val="20"/>
          <w:szCs w:val="20"/>
        </w:rPr>
        <w:t>12,500 industrial</w:t>
      </w:r>
      <w:r w:rsidRPr="00AF44E8">
        <w:rPr>
          <w:rFonts w:ascii="Arial" w:hAnsi="Arial" w:cs="Arial"/>
          <w:sz w:val="20"/>
          <w:szCs w:val="20"/>
        </w:rPr>
        <w:t xml:space="preserve"> products)</w:t>
      </w:r>
    </w:p>
    <w:p w14:paraId="76E5754A" w14:textId="1A017BCE" w:rsidR="00AF44E8" w:rsidRPr="00AF44E8" w:rsidRDefault="00AF44E8" w:rsidP="006666F0">
      <w:pPr>
        <w:pStyle w:val="ListParagraph"/>
        <w:numPr>
          <w:ilvl w:val="0"/>
          <w:numId w:val="17"/>
        </w:numPr>
        <w:rPr>
          <w:rFonts w:ascii="Arial" w:hAnsi="Arial" w:cs="Arial"/>
          <w:sz w:val="20"/>
          <w:szCs w:val="20"/>
        </w:rPr>
      </w:pPr>
      <w:r w:rsidRPr="00AF44E8">
        <w:rPr>
          <w:rFonts w:ascii="Arial" w:hAnsi="Arial" w:cs="Arial"/>
          <w:sz w:val="20"/>
          <w:szCs w:val="20"/>
        </w:rPr>
        <w:t xml:space="preserve">Product performance data previously accepted by </w:t>
      </w:r>
      <w:proofErr w:type="spellStart"/>
      <w:r w:rsidRPr="00AF44E8">
        <w:rPr>
          <w:rFonts w:ascii="Arial" w:hAnsi="Arial" w:cs="Arial"/>
          <w:sz w:val="20"/>
          <w:szCs w:val="20"/>
        </w:rPr>
        <w:t>CalTF</w:t>
      </w:r>
      <w:proofErr w:type="spellEnd"/>
      <w:r w:rsidRPr="00AF44E8">
        <w:rPr>
          <w:rFonts w:ascii="Arial" w:hAnsi="Arial" w:cs="Arial"/>
          <w:sz w:val="20"/>
          <w:szCs w:val="20"/>
        </w:rPr>
        <w:t xml:space="preserve"> and Ex-Ante Review team in the LED Troffer workpaper</w:t>
      </w:r>
    </w:p>
    <w:p w14:paraId="5BD19036" w14:textId="6EAA6549" w:rsidR="00AF44E8" w:rsidRPr="00AF44E8" w:rsidRDefault="00AF44E8" w:rsidP="006666F0">
      <w:pPr>
        <w:pStyle w:val="ListParagraph"/>
        <w:numPr>
          <w:ilvl w:val="0"/>
          <w:numId w:val="17"/>
        </w:numPr>
        <w:rPr>
          <w:rFonts w:ascii="Arial" w:hAnsi="Arial" w:cs="Arial"/>
          <w:sz w:val="20"/>
          <w:szCs w:val="20"/>
        </w:rPr>
      </w:pPr>
      <w:r w:rsidRPr="00AF44E8">
        <w:rPr>
          <w:rFonts w:ascii="Arial" w:hAnsi="Arial" w:cs="Arial"/>
          <w:sz w:val="20"/>
          <w:szCs w:val="20"/>
        </w:rPr>
        <w:t>Ability to filter by year, so that older products could be excluded from the efficacy sampling</w:t>
      </w:r>
    </w:p>
    <w:p w14:paraId="1DF849B6" w14:textId="24C9677D" w:rsidR="00AF44E8" w:rsidRDefault="00AF44E8" w:rsidP="006666F0">
      <w:pPr>
        <w:pStyle w:val="ListParagraph"/>
        <w:numPr>
          <w:ilvl w:val="0"/>
          <w:numId w:val="17"/>
        </w:numPr>
        <w:rPr>
          <w:rFonts w:ascii="Arial" w:hAnsi="Arial" w:cs="Arial"/>
          <w:sz w:val="20"/>
          <w:szCs w:val="20"/>
        </w:rPr>
      </w:pPr>
      <w:r w:rsidRPr="00AF44E8">
        <w:rPr>
          <w:rFonts w:ascii="Arial" w:hAnsi="Arial" w:cs="Arial"/>
          <w:sz w:val="20"/>
          <w:szCs w:val="20"/>
        </w:rPr>
        <w:t>Important distinctions by primary use: Lighting</w:t>
      </w:r>
      <w:r w:rsidR="004075BD">
        <w:rPr>
          <w:rFonts w:ascii="Arial" w:hAnsi="Arial" w:cs="Arial"/>
          <w:sz w:val="20"/>
          <w:szCs w:val="20"/>
        </w:rPr>
        <w:t xml:space="preserve"> </w:t>
      </w:r>
      <w:r w:rsidRPr="00AF44E8">
        <w:rPr>
          <w:rFonts w:ascii="Arial" w:hAnsi="Arial" w:cs="Arial"/>
          <w:sz w:val="20"/>
          <w:szCs w:val="20"/>
        </w:rPr>
        <w:t>Facts captures the lower LPW values typical of Wall-mounted LEDs on the market.</w:t>
      </w:r>
    </w:p>
    <w:p w14:paraId="2EEBFF0D" w14:textId="0575C7E3" w:rsidR="00EE4F41" w:rsidRDefault="00EE4F41" w:rsidP="00EE4F41">
      <w:pPr>
        <w:rPr>
          <w:rFonts w:ascii="Arial" w:hAnsi="Arial" w:cs="Arial"/>
          <w:sz w:val="20"/>
          <w:szCs w:val="20"/>
        </w:rPr>
      </w:pPr>
      <w:bookmarkStart w:id="108" w:name="_Hlk510989238"/>
    </w:p>
    <w:p w14:paraId="1281FADA" w14:textId="268659DD" w:rsidR="00EE4F41" w:rsidRPr="00EE4F41" w:rsidRDefault="00EE4F41" w:rsidP="00EE4F41">
      <w:pPr>
        <w:rPr>
          <w:rFonts w:ascii="Arial" w:hAnsi="Arial" w:cs="Arial"/>
          <w:sz w:val="20"/>
          <w:szCs w:val="20"/>
        </w:rPr>
      </w:pPr>
      <w:bookmarkStart w:id="109" w:name="_Hlk510967141"/>
      <w:r>
        <w:rPr>
          <w:rFonts w:ascii="Arial" w:hAnsi="Arial" w:cs="Arial"/>
          <w:sz w:val="20"/>
          <w:szCs w:val="20"/>
        </w:rPr>
        <w:t>Unfortunately,</w:t>
      </w:r>
      <w:r w:rsidR="004075BD">
        <w:rPr>
          <w:rFonts w:ascii="Arial" w:hAnsi="Arial" w:cs="Arial"/>
          <w:sz w:val="20"/>
          <w:szCs w:val="20"/>
        </w:rPr>
        <w:t xml:space="preserve"> as of March 31, 2018,</w:t>
      </w:r>
      <w:r>
        <w:rPr>
          <w:rFonts w:ascii="Arial" w:hAnsi="Arial" w:cs="Arial"/>
          <w:sz w:val="20"/>
          <w:szCs w:val="20"/>
        </w:rPr>
        <w:t xml:space="preserve"> the Department of Energy </w:t>
      </w:r>
      <w:r w:rsidR="004075BD">
        <w:rPr>
          <w:rFonts w:ascii="Arial" w:hAnsi="Arial" w:cs="Arial"/>
          <w:sz w:val="20"/>
          <w:szCs w:val="20"/>
        </w:rPr>
        <w:t xml:space="preserve">has </w:t>
      </w:r>
      <w:r>
        <w:rPr>
          <w:rFonts w:ascii="Arial" w:hAnsi="Arial" w:cs="Arial"/>
          <w:sz w:val="20"/>
          <w:szCs w:val="20"/>
        </w:rPr>
        <w:t>end</w:t>
      </w:r>
      <w:r w:rsidR="004075BD">
        <w:rPr>
          <w:rFonts w:ascii="Arial" w:hAnsi="Arial" w:cs="Arial"/>
          <w:sz w:val="20"/>
          <w:szCs w:val="20"/>
        </w:rPr>
        <w:t>ed</w:t>
      </w:r>
      <w:r>
        <w:rPr>
          <w:rFonts w:ascii="Arial" w:hAnsi="Arial" w:cs="Arial"/>
          <w:sz w:val="20"/>
          <w:szCs w:val="20"/>
        </w:rPr>
        <w:t xml:space="preserve"> future funding for the Lightin</w:t>
      </w:r>
      <w:r w:rsidR="00D57F5A">
        <w:rPr>
          <w:rFonts w:ascii="Arial" w:hAnsi="Arial" w:cs="Arial"/>
          <w:sz w:val="20"/>
          <w:szCs w:val="20"/>
        </w:rPr>
        <w:t>g</w:t>
      </w:r>
      <w:r w:rsidR="004075BD">
        <w:rPr>
          <w:rFonts w:ascii="Arial" w:hAnsi="Arial" w:cs="Arial"/>
          <w:sz w:val="20"/>
          <w:szCs w:val="20"/>
        </w:rPr>
        <w:t xml:space="preserve"> </w:t>
      </w:r>
      <w:r w:rsidR="00D57F5A">
        <w:rPr>
          <w:rFonts w:ascii="Arial" w:hAnsi="Arial" w:cs="Arial"/>
          <w:sz w:val="20"/>
          <w:szCs w:val="20"/>
        </w:rPr>
        <w:t>Facts label program.  Other data sources will need to be cons</w:t>
      </w:r>
      <w:r w:rsidR="0057072C">
        <w:rPr>
          <w:rFonts w:ascii="Arial" w:hAnsi="Arial" w:cs="Arial"/>
          <w:sz w:val="20"/>
          <w:szCs w:val="20"/>
        </w:rPr>
        <w:t>idered in lieu of Lighting</w:t>
      </w:r>
      <w:r w:rsidR="004075BD">
        <w:rPr>
          <w:rFonts w:ascii="Arial" w:hAnsi="Arial" w:cs="Arial"/>
          <w:sz w:val="20"/>
          <w:szCs w:val="20"/>
        </w:rPr>
        <w:t xml:space="preserve"> </w:t>
      </w:r>
      <w:r w:rsidR="0057072C">
        <w:rPr>
          <w:rFonts w:ascii="Arial" w:hAnsi="Arial" w:cs="Arial"/>
          <w:sz w:val="20"/>
          <w:szCs w:val="20"/>
        </w:rPr>
        <w:t xml:space="preserve">Facts </w:t>
      </w:r>
      <w:r w:rsidR="004075BD">
        <w:rPr>
          <w:rFonts w:ascii="Arial" w:hAnsi="Arial" w:cs="Arial"/>
          <w:sz w:val="20"/>
          <w:szCs w:val="20"/>
        </w:rPr>
        <w:t xml:space="preserve">such as </w:t>
      </w:r>
      <w:r w:rsidR="0057072C">
        <w:rPr>
          <w:rFonts w:ascii="Arial" w:hAnsi="Arial" w:cs="Arial"/>
          <w:sz w:val="20"/>
          <w:szCs w:val="20"/>
        </w:rPr>
        <w:t>the data that will be collected for the Navigant LED Market Characterization study.</w:t>
      </w:r>
    </w:p>
    <w:bookmarkEnd w:id="106"/>
    <w:bookmarkEnd w:id="108"/>
    <w:bookmarkEnd w:id="109"/>
    <w:p w14:paraId="36B27541" w14:textId="77777777" w:rsidR="00A81C79" w:rsidRPr="00066844" w:rsidRDefault="00A81C79" w:rsidP="00130C40">
      <w:pPr>
        <w:rPr>
          <w:rFonts w:ascii="Arial" w:hAnsi="Arial" w:cs="Arial"/>
          <w:sz w:val="20"/>
          <w:szCs w:val="20"/>
        </w:rPr>
      </w:pPr>
    </w:p>
    <w:p w14:paraId="65384A32" w14:textId="2074BA9F" w:rsidR="003F7432" w:rsidRDefault="00E40631">
      <w:pPr>
        <w:rPr>
          <w:rFonts w:ascii="Arial" w:hAnsi="Arial" w:cs="Arial"/>
          <w:sz w:val="20"/>
          <w:szCs w:val="20"/>
        </w:rPr>
      </w:pPr>
      <w:bookmarkStart w:id="110" w:name="_Hlk510989619"/>
      <w:r>
        <w:rPr>
          <w:rFonts w:ascii="Arial" w:hAnsi="Arial" w:cs="Arial"/>
          <w:sz w:val="20"/>
          <w:szCs w:val="20"/>
        </w:rPr>
        <w:t xml:space="preserve">A total of </w:t>
      </w:r>
      <w:r w:rsidR="003F7432">
        <w:rPr>
          <w:rFonts w:ascii="Arial" w:hAnsi="Arial" w:cs="Arial"/>
          <w:sz w:val="20"/>
          <w:szCs w:val="20"/>
        </w:rPr>
        <w:t>2</w:t>
      </w:r>
      <w:r>
        <w:rPr>
          <w:rFonts w:ascii="Arial" w:hAnsi="Arial" w:cs="Arial"/>
          <w:sz w:val="20"/>
          <w:szCs w:val="20"/>
        </w:rPr>
        <w:t>,</w:t>
      </w:r>
      <w:r w:rsidR="003F7432">
        <w:rPr>
          <w:rFonts w:ascii="Arial" w:hAnsi="Arial" w:cs="Arial"/>
          <w:sz w:val="20"/>
          <w:szCs w:val="20"/>
        </w:rPr>
        <w:t xml:space="preserve">037 PG&amp;E applications from 2016 – 2018 were matched to DLC products, giving precise cost per output data in all Tiers. </w:t>
      </w:r>
      <w:bookmarkEnd w:id="110"/>
    </w:p>
    <w:p w14:paraId="6E58396A" w14:textId="77777777" w:rsidR="003F7432" w:rsidRDefault="003F7432">
      <w:pPr>
        <w:rPr>
          <w:rFonts w:ascii="Arial" w:hAnsi="Arial" w:cs="Arial"/>
          <w:sz w:val="20"/>
          <w:szCs w:val="20"/>
        </w:rPr>
      </w:pPr>
    </w:p>
    <w:p w14:paraId="216A320F" w14:textId="5D7D0D9A" w:rsidR="006645F6" w:rsidRPr="006E3439" w:rsidRDefault="00CF3FF0" w:rsidP="006E3439">
      <w:pPr>
        <w:pStyle w:val="Heading1"/>
      </w:pPr>
      <w:bookmarkStart w:id="111" w:name="_Ref510938094"/>
      <w:bookmarkStart w:id="112" w:name="_Toc511038045"/>
      <w:bookmarkStart w:id="113" w:name="_Toc2804917"/>
      <w:r w:rsidRPr="00CB1003">
        <w:lastRenderedPageBreak/>
        <w:t xml:space="preserve">Section </w:t>
      </w:r>
      <w:r w:rsidR="00C069A2" w:rsidRPr="00CB1003">
        <w:t>2 Calculation Methods</w:t>
      </w:r>
      <w:bookmarkEnd w:id="111"/>
      <w:bookmarkEnd w:id="112"/>
      <w:bookmarkEnd w:id="113"/>
      <w:r w:rsidR="00A24216">
        <w:t xml:space="preserve"> </w:t>
      </w:r>
    </w:p>
    <w:p w14:paraId="48899418" w14:textId="614F13D0" w:rsidR="00710061" w:rsidRPr="002245D6" w:rsidRDefault="002245D6" w:rsidP="00D154B6">
      <w:pPr>
        <w:pStyle w:val="Heading3"/>
      </w:pPr>
      <w:bookmarkStart w:id="114" w:name="_Toc2804918"/>
      <w:r>
        <w:t>2.</w:t>
      </w:r>
      <w:r w:rsidR="00D14767">
        <w:t>0.1</w:t>
      </w:r>
      <w:r>
        <w:t xml:space="preserve"> </w:t>
      </w:r>
      <w:r w:rsidRPr="002245D6">
        <w:t>Equivalent Levels of Service</w:t>
      </w:r>
      <w:bookmarkEnd w:id="114"/>
    </w:p>
    <w:p w14:paraId="082A79D3" w14:textId="72066EF9" w:rsidR="003B44BB" w:rsidRPr="00A317FF" w:rsidRDefault="007C1DEB" w:rsidP="001A3026">
      <w:pPr>
        <w:rPr>
          <w:rFonts w:ascii="Arial" w:hAnsi="Arial"/>
          <w:sz w:val="20"/>
        </w:rPr>
      </w:pPr>
      <w:r w:rsidRPr="00A317FF">
        <w:rPr>
          <w:rFonts w:ascii="Arial" w:hAnsi="Arial"/>
          <w:sz w:val="20"/>
        </w:rPr>
        <w:t xml:space="preserve">This workpaper uses the </w:t>
      </w:r>
      <w:r w:rsidR="00A317FF" w:rsidRPr="00A317FF">
        <w:rPr>
          <w:rFonts w:ascii="Arial" w:hAnsi="Arial"/>
          <w:sz w:val="20"/>
        </w:rPr>
        <w:t>current</w:t>
      </w:r>
      <w:r w:rsidR="003B44BB" w:rsidRPr="00A317FF">
        <w:rPr>
          <w:rFonts w:ascii="Arial" w:hAnsi="Arial"/>
          <w:sz w:val="20"/>
        </w:rPr>
        <w:t xml:space="preserve"> </w:t>
      </w:r>
      <w:r w:rsidR="00D211F3" w:rsidRPr="00A317FF">
        <w:rPr>
          <w:rFonts w:ascii="Arial" w:hAnsi="Arial"/>
          <w:sz w:val="20"/>
        </w:rPr>
        <w:t>DLC</w:t>
      </w:r>
      <w:r w:rsidRPr="00A317FF">
        <w:rPr>
          <w:rFonts w:ascii="Arial" w:hAnsi="Arial"/>
          <w:sz w:val="20"/>
        </w:rPr>
        <w:t xml:space="preserve"> </w:t>
      </w:r>
      <w:r w:rsidR="00B114EC" w:rsidRPr="00A317FF">
        <w:rPr>
          <w:rFonts w:ascii="Arial" w:hAnsi="Arial"/>
          <w:sz w:val="20"/>
        </w:rPr>
        <w:t>QPL</w:t>
      </w:r>
      <w:r w:rsidR="0072168D">
        <w:rPr>
          <w:rFonts w:ascii="Arial" w:hAnsi="Arial"/>
          <w:sz w:val="20"/>
        </w:rPr>
        <w:t xml:space="preserve"> and LED </w:t>
      </w:r>
      <w:proofErr w:type="spellStart"/>
      <w:r w:rsidR="0072168D">
        <w:rPr>
          <w:rFonts w:ascii="Arial" w:hAnsi="Arial"/>
          <w:sz w:val="20"/>
        </w:rPr>
        <w:t>LightingFacts</w:t>
      </w:r>
      <w:proofErr w:type="spellEnd"/>
      <w:r w:rsidRPr="00A317FF">
        <w:rPr>
          <w:rFonts w:ascii="Arial" w:hAnsi="Arial"/>
          <w:sz w:val="20"/>
        </w:rPr>
        <w:t xml:space="preserve"> to choose the most appropriate </w:t>
      </w:r>
      <w:r w:rsidR="008547B7" w:rsidRPr="00A317FF">
        <w:rPr>
          <w:rFonts w:ascii="Arial" w:hAnsi="Arial"/>
          <w:sz w:val="20"/>
        </w:rPr>
        <w:t xml:space="preserve">LED </w:t>
      </w:r>
      <w:r w:rsidRPr="00A317FF">
        <w:rPr>
          <w:rFonts w:ascii="Arial" w:hAnsi="Arial"/>
          <w:sz w:val="20"/>
        </w:rPr>
        <w:t xml:space="preserve">base and measure case </w:t>
      </w:r>
      <w:r w:rsidR="00F009CD">
        <w:rPr>
          <w:rFonts w:ascii="Arial" w:hAnsi="Arial"/>
          <w:sz w:val="20"/>
        </w:rPr>
        <w:t>performance</w:t>
      </w:r>
      <w:r w:rsidRPr="00A317FF">
        <w:rPr>
          <w:rFonts w:ascii="Arial" w:hAnsi="Arial"/>
          <w:sz w:val="20"/>
        </w:rPr>
        <w:t>.</w:t>
      </w:r>
      <w:r w:rsidR="00322FB9" w:rsidRPr="00A317FF">
        <w:rPr>
          <w:rFonts w:ascii="Arial" w:hAnsi="Arial"/>
          <w:sz w:val="20"/>
        </w:rPr>
        <w:t xml:space="preserve"> </w:t>
      </w:r>
      <w:r w:rsidR="008547B7" w:rsidRPr="00A317FF">
        <w:rPr>
          <w:rFonts w:ascii="Arial" w:hAnsi="Arial"/>
          <w:sz w:val="20"/>
        </w:rPr>
        <w:t xml:space="preserve">The fluorescent base case power consumption uses the </w:t>
      </w:r>
      <w:r w:rsidR="008547B7" w:rsidRPr="00A317FF">
        <w:rPr>
          <w:rFonts w:ascii="Arial" w:hAnsi="Arial" w:cs="Arial"/>
          <w:sz w:val="20"/>
          <w:szCs w:val="20"/>
        </w:rPr>
        <w:t xml:space="preserve">Standard Fixture Wattages from Appendix B.  </w:t>
      </w:r>
      <w:r w:rsidR="00322FB9" w:rsidRPr="00A317FF">
        <w:rPr>
          <w:rFonts w:ascii="Arial" w:hAnsi="Arial"/>
          <w:sz w:val="20"/>
        </w:rPr>
        <w:t xml:space="preserve">The base case </w:t>
      </w:r>
      <w:r w:rsidR="00F009CD">
        <w:rPr>
          <w:rFonts w:ascii="Arial" w:hAnsi="Arial"/>
          <w:sz w:val="20"/>
        </w:rPr>
        <w:t xml:space="preserve">fluorescent </w:t>
      </w:r>
      <w:r w:rsidR="00322FB9" w:rsidRPr="00A317FF">
        <w:rPr>
          <w:rFonts w:ascii="Arial" w:hAnsi="Arial"/>
          <w:sz w:val="20"/>
        </w:rPr>
        <w:t xml:space="preserve">wattages </w:t>
      </w:r>
      <w:r w:rsidR="008547B7" w:rsidRPr="00A317FF">
        <w:rPr>
          <w:rFonts w:ascii="Arial" w:hAnsi="Arial"/>
          <w:sz w:val="20"/>
        </w:rPr>
        <w:t xml:space="preserve">have been developed from </w:t>
      </w:r>
      <w:r w:rsidR="00B67AB6" w:rsidRPr="00A317FF">
        <w:rPr>
          <w:rFonts w:ascii="Arial" w:hAnsi="Arial"/>
          <w:sz w:val="20"/>
        </w:rPr>
        <w:t xml:space="preserve">common </w:t>
      </w:r>
      <w:r w:rsidR="006234EB" w:rsidRPr="00A317FF">
        <w:rPr>
          <w:rFonts w:ascii="Arial" w:hAnsi="Arial"/>
          <w:sz w:val="20"/>
        </w:rPr>
        <w:t xml:space="preserve">configurations of high performance T8 linear fluorescent </w:t>
      </w:r>
      <w:r w:rsidR="00B67AB6" w:rsidRPr="00A317FF">
        <w:rPr>
          <w:rFonts w:ascii="Arial" w:hAnsi="Arial"/>
          <w:sz w:val="20"/>
        </w:rPr>
        <w:t>high-</w:t>
      </w:r>
      <w:r w:rsidR="00322FB9" w:rsidRPr="00A317FF">
        <w:rPr>
          <w:rFonts w:ascii="Arial" w:hAnsi="Arial"/>
          <w:sz w:val="20"/>
        </w:rPr>
        <w:t xml:space="preserve">bay </w:t>
      </w:r>
      <w:r w:rsidR="00B67AB6" w:rsidRPr="00A317FF">
        <w:rPr>
          <w:rFonts w:ascii="Arial" w:hAnsi="Arial"/>
          <w:sz w:val="20"/>
        </w:rPr>
        <w:t xml:space="preserve">and low-bay </w:t>
      </w:r>
      <w:r w:rsidR="006234EB" w:rsidRPr="00A317FF">
        <w:rPr>
          <w:rFonts w:ascii="Arial" w:hAnsi="Arial"/>
          <w:sz w:val="20"/>
        </w:rPr>
        <w:t>fixture</w:t>
      </w:r>
      <w:r w:rsidR="008547B7" w:rsidRPr="00A317FF">
        <w:rPr>
          <w:rFonts w:ascii="Arial" w:hAnsi="Arial"/>
          <w:sz w:val="20"/>
        </w:rPr>
        <w:t>s.</w:t>
      </w:r>
      <w:r w:rsidR="00F009CD">
        <w:rPr>
          <w:rFonts w:ascii="Arial" w:hAnsi="Arial"/>
          <w:sz w:val="20"/>
        </w:rPr>
        <w:t xml:space="preserve"> The base case LED wattages </w:t>
      </w:r>
      <w:proofErr w:type="gramStart"/>
      <w:r w:rsidR="00F009CD">
        <w:rPr>
          <w:rFonts w:ascii="Arial" w:hAnsi="Arial"/>
          <w:sz w:val="20"/>
        </w:rPr>
        <w:t>has</w:t>
      </w:r>
      <w:proofErr w:type="gramEnd"/>
      <w:r w:rsidR="00F009CD">
        <w:rPr>
          <w:rFonts w:ascii="Arial" w:hAnsi="Arial"/>
          <w:sz w:val="20"/>
        </w:rPr>
        <w:t xml:space="preserve"> been determined by lumen bin values and the 25</w:t>
      </w:r>
      <w:r w:rsidR="00F009CD" w:rsidRPr="00E40631">
        <w:rPr>
          <w:rFonts w:ascii="Arial" w:hAnsi="Arial"/>
          <w:sz w:val="20"/>
          <w:vertAlign w:val="superscript"/>
        </w:rPr>
        <w:t>th</w:t>
      </w:r>
      <w:r w:rsidR="00F009CD">
        <w:rPr>
          <w:rFonts w:ascii="Arial" w:hAnsi="Arial"/>
          <w:sz w:val="20"/>
        </w:rPr>
        <w:t xml:space="preserve"> percentile efficacy of </w:t>
      </w:r>
      <w:proofErr w:type="spellStart"/>
      <w:r w:rsidR="00F009CD">
        <w:rPr>
          <w:rFonts w:ascii="Arial" w:hAnsi="Arial"/>
          <w:sz w:val="20"/>
        </w:rPr>
        <w:t>LightingFacts</w:t>
      </w:r>
      <w:proofErr w:type="spellEnd"/>
      <w:r w:rsidR="00F009CD">
        <w:rPr>
          <w:rFonts w:ascii="Arial" w:hAnsi="Arial"/>
          <w:sz w:val="20"/>
        </w:rPr>
        <w:t xml:space="preserve"> products.</w:t>
      </w:r>
      <w:r w:rsidR="00B114EC" w:rsidRPr="00A317FF">
        <w:rPr>
          <w:rFonts w:ascii="Arial" w:hAnsi="Arial"/>
          <w:sz w:val="20"/>
        </w:rPr>
        <w:t xml:space="preserve"> </w:t>
      </w:r>
    </w:p>
    <w:p w14:paraId="671D1485" w14:textId="06034323" w:rsidR="00EF6429" w:rsidRDefault="00EF6429" w:rsidP="001A3026">
      <w:pPr>
        <w:rPr>
          <w:rFonts w:ascii="Arial" w:hAnsi="Arial" w:cs="Arial"/>
          <w:sz w:val="20"/>
          <w:szCs w:val="20"/>
          <w:highlight w:val="yellow"/>
        </w:rPr>
      </w:pPr>
    </w:p>
    <w:p w14:paraId="61125421" w14:textId="799277E2" w:rsidR="00D14767" w:rsidRPr="00586F37" w:rsidRDefault="00EF6429" w:rsidP="00EF6429">
      <w:pPr>
        <w:rPr>
          <w:rFonts w:ascii="Arial" w:hAnsi="Arial"/>
          <w:sz w:val="20"/>
        </w:rPr>
      </w:pPr>
      <w:r w:rsidRPr="00586F37">
        <w:rPr>
          <w:rFonts w:ascii="Arial" w:hAnsi="Arial"/>
          <w:sz w:val="20"/>
        </w:rPr>
        <w:t xml:space="preserve">The fixture lumen performance in the high-bay and low-bay categories of the DLC qualified product list as of </w:t>
      </w:r>
      <w:r w:rsidR="00F009CD">
        <w:rPr>
          <w:rFonts w:ascii="Arial" w:hAnsi="Arial" w:cs="Arial"/>
          <w:sz w:val="20"/>
          <w:szCs w:val="20"/>
        </w:rPr>
        <w:t>December</w:t>
      </w:r>
      <w:r w:rsidR="00F009CD" w:rsidRPr="00586F37">
        <w:rPr>
          <w:rFonts w:ascii="Arial" w:hAnsi="Arial" w:cs="Arial"/>
          <w:sz w:val="20"/>
          <w:szCs w:val="20"/>
        </w:rPr>
        <w:t xml:space="preserve"> </w:t>
      </w:r>
      <w:r w:rsidR="00A317FF" w:rsidRPr="00586F37">
        <w:rPr>
          <w:rFonts w:ascii="Arial" w:hAnsi="Arial" w:cs="Arial"/>
          <w:sz w:val="20"/>
          <w:szCs w:val="20"/>
        </w:rPr>
        <w:t>2018</w:t>
      </w:r>
      <w:r w:rsidRPr="00586F37">
        <w:rPr>
          <w:rFonts w:ascii="Arial" w:hAnsi="Arial"/>
          <w:sz w:val="20"/>
        </w:rPr>
        <w:t xml:space="preserve"> was analyzed to justify the wattage equivalency assumptions. The </w:t>
      </w:r>
      <w:r w:rsidR="00586F37" w:rsidRPr="00586F37">
        <w:rPr>
          <w:rFonts w:ascii="Arial" w:hAnsi="Arial" w:cs="Arial"/>
          <w:sz w:val="20"/>
          <w:szCs w:val="20"/>
        </w:rPr>
        <w:t>7</w:t>
      </w:r>
      <w:r w:rsidR="0073511F">
        <w:rPr>
          <w:rFonts w:ascii="Arial" w:hAnsi="Arial" w:cs="Arial"/>
          <w:sz w:val="20"/>
          <w:szCs w:val="20"/>
        </w:rPr>
        <w:t>6,10</w:t>
      </w:r>
      <w:r w:rsidR="00586F37" w:rsidRPr="00586F37">
        <w:rPr>
          <w:rFonts w:ascii="Arial" w:hAnsi="Arial" w:cs="Arial"/>
          <w:sz w:val="20"/>
          <w:szCs w:val="20"/>
        </w:rPr>
        <w:t>9</w:t>
      </w:r>
      <w:r w:rsidRPr="00586F37">
        <w:rPr>
          <w:rFonts w:ascii="Arial" w:hAnsi="Arial"/>
          <w:sz w:val="20"/>
        </w:rPr>
        <w:t xml:space="preserve"> products in the DLC list in these categories were </w:t>
      </w:r>
      <w:r w:rsidR="0073511F">
        <w:rPr>
          <w:rFonts w:ascii="Arial" w:hAnsi="Arial"/>
          <w:sz w:val="20"/>
        </w:rPr>
        <w:t>binned by l</w:t>
      </w:r>
      <w:r w:rsidR="0035476D">
        <w:rPr>
          <w:rFonts w:ascii="Arial" w:hAnsi="Arial"/>
          <w:sz w:val="20"/>
        </w:rPr>
        <w:t>umen</w:t>
      </w:r>
      <w:r w:rsidR="0073511F">
        <w:rPr>
          <w:rFonts w:ascii="Arial" w:hAnsi="Arial"/>
          <w:sz w:val="20"/>
        </w:rPr>
        <w:t xml:space="preserve"> output, and each bin was </w:t>
      </w:r>
      <w:r w:rsidRPr="00586F37">
        <w:rPr>
          <w:rFonts w:ascii="Arial" w:hAnsi="Arial"/>
          <w:sz w:val="20"/>
        </w:rPr>
        <w:t xml:space="preserve">analyzed for equivalency to common </w:t>
      </w:r>
      <w:r w:rsidR="00586F37" w:rsidRPr="00586F37">
        <w:rPr>
          <w:rFonts w:ascii="Arial" w:hAnsi="Arial" w:cs="Arial"/>
          <w:sz w:val="20"/>
          <w:szCs w:val="20"/>
        </w:rPr>
        <w:t xml:space="preserve">linear fluorescent </w:t>
      </w:r>
      <w:r w:rsidRPr="00586F37">
        <w:rPr>
          <w:rFonts w:ascii="Arial" w:hAnsi="Arial"/>
          <w:sz w:val="20"/>
        </w:rPr>
        <w:t>base case fixtures</w:t>
      </w:r>
      <w:r w:rsidR="0073511F">
        <w:rPr>
          <w:rFonts w:ascii="Arial" w:hAnsi="Arial"/>
          <w:sz w:val="20"/>
        </w:rPr>
        <w:t xml:space="preserve"> based on zonal lumens</w:t>
      </w:r>
      <w:r w:rsidRPr="00586F37">
        <w:rPr>
          <w:rFonts w:ascii="Arial" w:hAnsi="Arial"/>
          <w:sz w:val="20"/>
        </w:rPr>
        <w:t>.</w:t>
      </w:r>
    </w:p>
    <w:p w14:paraId="0E89C0B5" w14:textId="3A7750CC" w:rsidR="00AE1753" w:rsidRPr="00CD3B08" w:rsidRDefault="00AE1753" w:rsidP="00D154B6">
      <w:pPr>
        <w:rPr>
          <w:rFonts w:ascii="Arial" w:hAnsi="Arial" w:cs="Arial"/>
          <w:sz w:val="20"/>
        </w:rPr>
      </w:pPr>
    </w:p>
    <w:p w14:paraId="55B289F0" w14:textId="6B5B8AFD" w:rsidR="00AE1753" w:rsidRPr="00D154B6" w:rsidRDefault="00AE1753" w:rsidP="00AE1753">
      <w:pPr>
        <w:rPr>
          <w:rFonts w:ascii="Arial" w:hAnsi="Arial" w:cs="Arial"/>
          <w:b/>
          <w:sz w:val="20"/>
        </w:rPr>
      </w:pPr>
      <w:r w:rsidRPr="00D154B6">
        <w:rPr>
          <w:rFonts w:ascii="Arial" w:hAnsi="Arial" w:cs="Arial"/>
          <w:b/>
          <w:sz w:val="20"/>
        </w:rPr>
        <w:t>Zonal Lumens Methodology</w:t>
      </w:r>
    </w:p>
    <w:p w14:paraId="0E4AD0AC" w14:textId="02476CAC" w:rsidR="002245D6" w:rsidRDefault="002505EA" w:rsidP="00AE1753">
      <w:pPr>
        <w:jc w:val="both"/>
        <w:rPr>
          <w:rFonts w:ascii="Arial" w:hAnsi="Arial" w:cs="Arial"/>
          <w:sz w:val="20"/>
        </w:rPr>
      </w:pPr>
      <w:bookmarkStart w:id="115" w:name="_Hlk533869793"/>
      <w:r w:rsidRPr="00D154B6">
        <w:rPr>
          <w:rFonts w:ascii="Arial" w:hAnsi="Arial" w:cs="Arial"/>
          <w:sz w:val="20"/>
          <w:szCs w:val="20"/>
        </w:rPr>
        <w:t>Fluorescent, and LED luminaire lumen equivalence was based on maintained Zonal Lumens in the DLC-des</w:t>
      </w:r>
      <w:r>
        <w:rPr>
          <w:rFonts w:ascii="Arial" w:hAnsi="Arial" w:cs="Arial"/>
          <w:sz w:val="20"/>
          <w:szCs w:val="20"/>
        </w:rPr>
        <w:t>ignated garage fixture zone of 20 - 5</w:t>
      </w:r>
      <w:r w:rsidRPr="00D154B6">
        <w:rPr>
          <w:rFonts w:ascii="Arial" w:hAnsi="Arial" w:cs="Arial"/>
          <w:sz w:val="20"/>
          <w:szCs w:val="20"/>
        </w:rPr>
        <w:t>0°, as shown in the table below.</w:t>
      </w:r>
      <w:r w:rsidRPr="0030401B">
        <w:t xml:space="preserve"> </w:t>
      </w:r>
      <w:r w:rsidR="00C8396C">
        <w:rPr>
          <w:rFonts w:ascii="Arial" w:hAnsi="Arial" w:cs="Arial"/>
          <w:sz w:val="20"/>
        </w:rPr>
        <w:t>The zonal lumen methodology analyzes</w:t>
      </w:r>
      <w:r w:rsidR="00AE1753" w:rsidRPr="00CD3B08">
        <w:rPr>
          <w:rFonts w:ascii="Arial" w:hAnsi="Arial" w:cs="Arial"/>
          <w:sz w:val="20"/>
        </w:rPr>
        <w:t xml:space="preserve"> light output </w:t>
      </w:r>
      <w:r w:rsidR="00C8396C">
        <w:rPr>
          <w:rFonts w:ascii="Arial" w:hAnsi="Arial" w:cs="Arial"/>
          <w:sz w:val="20"/>
        </w:rPr>
        <w:t xml:space="preserve">in a specific zone </w:t>
      </w:r>
      <w:r w:rsidR="00AE1753" w:rsidRPr="00CD3B08">
        <w:rPr>
          <w:rFonts w:ascii="Arial" w:hAnsi="Arial" w:cs="Arial"/>
          <w:sz w:val="20"/>
        </w:rPr>
        <w:t>to ensure equivalent performance</w:t>
      </w:r>
      <w:r w:rsidR="00C8396C">
        <w:rPr>
          <w:rFonts w:ascii="Arial" w:hAnsi="Arial" w:cs="Arial"/>
          <w:sz w:val="20"/>
        </w:rPr>
        <w:t xml:space="preserve"> between LED and linear fluorescent fixtures</w:t>
      </w:r>
      <w:r w:rsidR="00AE1753" w:rsidRPr="00CD3B08">
        <w:rPr>
          <w:rFonts w:ascii="Arial" w:hAnsi="Arial" w:cs="Arial"/>
          <w:sz w:val="20"/>
        </w:rPr>
        <w:t>.</w:t>
      </w:r>
      <w:bookmarkEnd w:id="115"/>
      <w:r w:rsidR="00AE1753" w:rsidRPr="00CD3B08">
        <w:rPr>
          <w:rFonts w:ascii="Arial" w:hAnsi="Arial" w:cs="Arial"/>
          <w:sz w:val="20"/>
        </w:rPr>
        <w:t xml:space="preserve"> PG&amp;E’s </w:t>
      </w:r>
      <w:r w:rsidR="00D14767">
        <w:rPr>
          <w:rFonts w:ascii="Arial" w:hAnsi="Arial" w:cs="Arial"/>
          <w:sz w:val="20"/>
        </w:rPr>
        <w:t>R</w:t>
      </w:r>
      <w:r w:rsidR="0035476D">
        <w:rPr>
          <w:rFonts w:ascii="Arial" w:hAnsi="Arial" w:cs="Arial"/>
          <w:sz w:val="20"/>
        </w:rPr>
        <w:t>3</w:t>
      </w:r>
      <w:r w:rsidR="00D14767">
        <w:rPr>
          <w:rFonts w:ascii="Arial" w:hAnsi="Arial" w:cs="Arial"/>
          <w:sz w:val="20"/>
        </w:rPr>
        <w:t xml:space="preserve"> for this workpaper introduced</w:t>
      </w:r>
      <w:r w:rsidR="00AE1753" w:rsidRPr="00CD3B08">
        <w:rPr>
          <w:rFonts w:ascii="Arial" w:hAnsi="Arial" w:cs="Arial"/>
          <w:sz w:val="20"/>
        </w:rPr>
        <w:t xml:space="preserve"> zonal lumens as a proxy fo</w:t>
      </w:r>
      <w:r w:rsidR="00C8396C">
        <w:rPr>
          <w:rFonts w:ascii="Arial" w:hAnsi="Arial" w:cs="Arial"/>
          <w:sz w:val="20"/>
        </w:rPr>
        <w:t>r useful light output</w:t>
      </w:r>
      <w:r>
        <w:rPr>
          <w:rFonts w:ascii="Arial" w:hAnsi="Arial" w:cs="Arial"/>
          <w:sz w:val="20"/>
        </w:rPr>
        <w:t xml:space="preserve">. </w:t>
      </w:r>
      <w:proofErr w:type="gramStart"/>
      <w:r w:rsidR="00C8396C">
        <w:rPr>
          <w:rFonts w:ascii="Arial" w:hAnsi="Arial" w:cs="Arial"/>
          <w:sz w:val="20"/>
        </w:rPr>
        <w:t>uses</w:t>
      </w:r>
      <w:proofErr w:type="gramEnd"/>
      <w:r w:rsidR="00C8396C">
        <w:rPr>
          <w:rFonts w:ascii="Arial" w:hAnsi="Arial" w:cs="Arial"/>
          <w:sz w:val="20"/>
        </w:rPr>
        <w:t xml:space="preserve"> the definition from</w:t>
      </w:r>
      <w:r w:rsidR="00AE1753" w:rsidRPr="00CD3B08">
        <w:rPr>
          <w:rFonts w:ascii="Arial" w:hAnsi="Arial" w:cs="Arial"/>
          <w:sz w:val="20"/>
        </w:rPr>
        <w:t xml:space="preserve"> the </w:t>
      </w:r>
      <w:proofErr w:type="spellStart"/>
      <w:r w:rsidR="00AE1753" w:rsidRPr="00CD3B08">
        <w:rPr>
          <w:rFonts w:ascii="Arial" w:hAnsi="Arial" w:cs="Arial"/>
          <w:sz w:val="20"/>
        </w:rPr>
        <w:t>DesignLights</w:t>
      </w:r>
      <w:proofErr w:type="spellEnd"/>
      <w:r w:rsidR="00AE1753" w:rsidRPr="00CD3B08">
        <w:rPr>
          <w:rFonts w:ascii="Arial" w:hAnsi="Arial" w:cs="Arial"/>
          <w:sz w:val="20"/>
        </w:rPr>
        <w:t xml:space="preserve"> Consortium specified minimum requirement zone: 20 to 50 degrees from nadir.</w:t>
      </w:r>
    </w:p>
    <w:p w14:paraId="7F05C929" w14:textId="75CF3928" w:rsidR="002245D6" w:rsidRDefault="002245D6" w:rsidP="00AE1753">
      <w:pPr>
        <w:jc w:val="both"/>
        <w:rPr>
          <w:rFonts w:ascii="Arial" w:hAnsi="Arial" w:cs="Arial"/>
          <w:sz w:val="20"/>
        </w:rPr>
      </w:pPr>
    </w:p>
    <w:p w14:paraId="260E8738" w14:textId="742101B0" w:rsidR="00E94C25" w:rsidRDefault="00694C35" w:rsidP="00E94C25">
      <w:pPr>
        <w:keepNext/>
        <w:jc w:val="center"/>
      </w:pPr>
      <w:r>
        <w:rPr>
          <w:rFonts w:ascii="Arial" w:hAnsi="Arial" w:cs="Arial"/>
          <w:noProof/>
          <w:sz w:val="20"/>
        </w:rPr>
        <w:drawing>
          <wp:inline distT="0" distB="0" distL="0" distR="0" wp14:anchorId="23A0BA5D" wp14:editId="1A92284E">
            <wp:extent cx="2700655" cy="2806700"/>
            <wp:effectExtent l="0" t="0" r="0" b="0"/>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00655" cy="2806700"/>
                    </a:xfrm>
                    <a:prstGeom prst="rect">
                      <a:avLst/>
                    </a:prstGeom>
                    <a:noFill/>
                    <a:ln>
                      <a:noFill/>
                    </a:ln>
                  </pic:spPr>
                </pic:pic>
              </a:graphicData>
            </a:graphic>
          </wp:inline>
        </w:drawing>
      </w:r>
    </w:p>
    <w:p w14:paraId="29D0ADE4" w14:textId="46A2DC0D" w:rsidR="00A94774" w:rsidRDefault="00E94C25" w:rsidP="00E94C25">
      <w:pPr>
        <w:pStyle w:val="Caption"/>
        <w:jc w:val="center"/>
        <w:rPr>
          <w:rFonts w:ascii="Arial" w:hAnsi="Arial" w:cs="Arial"/>
        </w:rPr>
      </w:pPr>
      <w:bookmarkStart w:id="116" w:name="_Toc2804952"/>
      <w:r>
        <w:t xml:space="preserve">Figure </w:t>
      </w:r>
      <w:fldSimple w:instr=" SEQ Figure \* ARABIC ">
        <w:r w:rsidR="007D2501">
          <w:rPr>
            <w:noProof/>
          </w:rPr>
          <w:t>4</w:t>
        </w:r>
      </w:fldSimple>
      <w:r w:rsidR="007042ED">
        <w:t xml:space="preserve"> </w:t>
      </w:r>
      <w:r>
        <w:t>Example of Zonal Lumen in the 20 – 50 degrees</w:t>
      </w:r>
      <w:bookmarkEnd w:id="116"/>
    </w:p>
    <w:p w14:paraId="0C859BF8" w14:textId="07CA953E" w:rsidR="00A03509" w:rsidRPr="00A03509" w:rsidRDefault="1AA8F051" w:rsidP="00855090">
      <w:pPr>
        <w:jc w:val="center"/>
        <w:rPr>
          <w:rFonts w:ascii="Arial" w:hAnsi="Arial" w:cs="Arial"/>
          <w:sz w:val="16"/>
        </w:rPr>
      </w:pPr>
      <w:r w:rsidRPr="1AA8F051">
        <w:rPr>
          <w:rFonts w:ascii="Arial" w:hAnsi="Arial" w:cs="Arial"/>
          <w:sz w:val="20"/>
          <w:szCs w:val="20"/>
        </w:rPr>
        <w:t xml:space="preserve">(Source: Visual-3d </w:t>
      </w:r>
      <w:hyperlink r:id="rId24">
        <w:r w:rsidRPr="1AA8F051">
          <w:rPr>
            <w:rStyle w:val="Hyperlink"/>
            <w:rFonts w:ascii="Arial" w:hAnsi="Arial" w:cs="Arial"/>
            <w:sz w:val="20"/>
            <w:szCs w:val="20"/>
          </w:rPr>
          <w:t>http://www.visual-3d.com/tools/photometricViewer/default.aspx?id=18586</w:t>
        </w:r>
      </w:hyperlink>
      <w:r w:rsidRPr="1AA8F051">
        <w:rPr>
          <w:rFonts w:ascii="Arial" w:hAnsi="Arial" w:cs="Arial"/>
          <w:sz w:val="20"/>
          <w:szCs w:val="20"/>
        </w:rPr>
        <w:t>)</w:t>
      </w:r>
    </w:p>
    <w:p w14:paraId="1B1A47D2" w14:textId="77777777" w:rsidR="00A94774" w:rsidRDefault="00A94774" w:rsidP="00AE1753">
      <w:pPr>
        <w:jc w:val="both"/>
        <w:rPr>
          <w:rFonts w:ascii="Arial" w:hAnsi="Arial" w:cs="Arial"/>
          <w:sz w:val="20"/>
        </w:rPr>
      </w:pPr>
    </w:p>
    <w:p w14:paraId="64806140" w14:textId="2825F19A" w:rsidR="002505EA" w:rsidRPr="00D154B6" w:rsidRDefault="002245D6" w:rsidP="00D154B6">
      <w:pPr>
        <w:jc w:val="both"/>
        <w:rPr>
          <w:rFonts w:ascii="Arial" w:hAnsi="Arial" w:cs="Arial"/>
        </w:rPr>
      </w:pPr>
      <w:r w:rsidRPr="00CD3B08">
        <w:rPr>
          <w:rFonts w:ascii="Arial" w:hAnsi="Arial" w:cs="Arial"/>
          <w:sz w:val="20"/>
        </w:rPr>
        <w:t>The savings calculations will continue to utilize Zonal Lumens, as this method approximates the level of service provided by the luminaires at least as well as the other method, and does so without unnecessary complexity.</w:t>
      </w:r>
    </w:p>
    <w:p w14:paraId="78AD8942" w14:textId="7D079357" w:rsidR="002505EA" w:rsidRDefault="002505EA" w:rsidP="00D154B6">
      <w:pPr>
        <w:pStyle w:val="Caption"/>
        <w:keepNext/>
        <w:jc w:val="center"/>
      </w:pPr>
      <w:bookmarkStart w:id="117" w:name="_Toc2804941"/>
      <w:r>
        <w:t xml:space="preserve">Table </w:t>
      </w:r>
      <w:fldSimple w:instr=" SEQ Table \* ARABIC ">
        <w:r>
          <w:rPr>
            <w:noProof/>
          </w:rPr>
          <w:t>10</w:t>
        </w:r>
      </w:fldSimple>
      <w:r>
        <w:t xml:space="preserve"> </w:t>
      </w:r>
      <w:r w:rsidRPr="00C32C52">
        <w:t>DLC v 4.4 and Zonal Lumens Distribution Requirements</w:t>
      </w:r>
      <w:bookmarkEnd w:id="117"/>
    </w:p>
    <w:tbl>
      <w:tblPr>
        <w:tblW w:w="6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8"/>
        <w:gridCol w:w="1315"/>
        <w:gridCol w:w="1338"/>
      </w:tblGrid>
      <w:tr w:rsidR="00FC16C5" w:rsidRPr="00FD3DAA" w14:paraId="6B15877C" w14:textId="77777777" w:rsidTr="00FC16C5">
        <w:trPr>
          <w:trHeight w:val="467"/>
          <w:jc w:val="center"/>
        </w:trPr>
        <w:tc>
          <w:tcPr>
            <w:tcW w:w="3428" w:type="dxa"/>
            <w:shd w:val="clear" w:color="auto" w:fill="auto"/>
            <w:vAlign w:val="center"/>
            <w:hideMark/>
          </w:tcPr>
          <w:p w14:paraId="2C1FC4CB" w14:textId="77777777" w:rsidR="002505EA" w:rsidRPr="0035476D" w:rsidRDefault="002505EA" w:rsidP="00B0412D">
            <w:pPr>
              <w:rPr>
                <w:rFonts w:ascii="Arial" w:hAnsi="Arial" w:cs="Arial"/>
                <w:b/>
                <w:bCs/>
                <w:color w:val="000000"/>
                <w:sz w:val="18"/>
                <w:szCs w:val="18"/>
              </w:rPr>
            </w:pPr>
            <w:r w:rsidRPr="0035476D">
              <w:rPr>
                <w:rFonts w:ascii="Arial" w:hAnsi="Arial" w:cs="Arial"/>
                <w:b/>
                <w:bCs/>
                <w:color w:val="000000"/>
                <w:sz w:val="18"/>
                <w:szCs w:val="18"/>
              </w:rPr>
              <w:t>Primary Use Designation</w:t>
            </w:r>
          </w:p>
        </w:tc>
        <w:tc>
          <w:tcPr>
            <w:tcW w:w="1315" w:type="dxa"/>
            <w:shd w:val="clear" w:color="auto" w:fill="auto"/>
            <w:vAlign w:val="center"/>
            <w:hideMark/>
          </w:tcPr>
          <w:p w14:paraId="59CD72D7" w14:textId="77777777" w:rsidR="002505EA" w:rsidRPr="0035476D" w:rsidRDefault="002505EA" w:rsidP="00B0412D">
            <w:pPr>
              <w:rPr>
                <w:rFonts w:ascii="Arial" w:hAnsi="Arial" w:cs="Arial"/>
                <w:b/>
                <w:bCs/>
                <w:color w:val="000000"/>
                <w:sz w:val="18"/>
                <w:szCs w:val="18"/>
              </w:rPr>
            </w:pPr>
            <w:r w:rsidRPr="0035476D">
              <w:rPr>
                <w:rFonts w:ascii="Arial" w:hAnsi="Arial" w:cs="Arial"/>
                <w:b/>
                <w:bCs/>
                <w:color w:val="000000"/>
                <w:sz w:val="18"/>
                <w:szCs w:val="18"/>
              </w:rPr>
              <w:t xml:space="preserve">Zone Definition </w:t>
            </w:r>
          </w:p>
        </w:tc>
        <w:tc>
          <w:tcPr>
            <w:tcW w:w="1338" w:type="dxa"/>
            <w:shd w:val="clear" w:color="auto" w:fill="auto"/>
            <w:vAlign w:val="center"/>
            <w:hideMark/>
          </w:tcPr>
          <w:p w14:paraId="39BB8CCE" w14:textId="77777777" w:rsidR="002505EA" w:rsidRPr="0035476D" w:rsidRDefault="002505EA" w:rsidP="00B0412D">
            <w:pPr>
              <w:rPr>
                <w:rFonts w:ascii="Arial" w:hAnsi="Arial" w:cs="Arial"/>
                <w:b/>
                <w:bCs/>
                <w:color w:val="000000"/>
                <w:sz w:val="18"/>
                <w:szCs w:val="18"/>
              </w:rPr>
            </w:pPr>
            <w:r w:rsidRPr="0035476D">
              <w:rPr>
                <w:rFonts w:ascii="Arial" w:hAnsi="Arial" w:cs="Arial"/>
                <w:b/>
                <w:bCs/>
                <w:color w:val="000000"/>
                <w:sz w:val="18"/>
                <w:szCs w:val="18"/>
              </w:rPr>
              <w:t>Zonal Lumen</w:t>
            </w:r>
            <w:r w:rsidRPr="0035476D">
              <w:rPr>
                <w:rFonts w:ascii="Arial" w:hAnsi="Arial" w:cs="Arial"/>
                <w:sz w:val="18"/>
                <w:szCs w:val="18"/>
              </w:rPr>
              <w:br/>
            </w:r>
            <w:r w:rsidRPr="0035476D">
              <w:rPr>
                <w:rFonts w:ascii="Arial" w:hAnsi="Arial" w:cs="Arial"/>
                <w:b/>
                <w:bCs/>
                <w:color w:val="000000"/>
                <w:sz w:val="18"/>
                <w:szCs w:val="18"/>
              </w:rPr>
              <w:t>Requirement</w:t>
            </w:r>
          </w:p>
        </w:tc>
      </w:tr>
      <w:tr w:rsidR="004C5579" w:rsidRPr="00FD3DAA" w14:paraId="654F288A" w14:textId="77777777" w:rsidTr="00FC16C5">
        <w:trPr>
          <w:trHeight w:val="170"/>
          <w:jc w:val="center"/>
        </w:trPr>
        <w:tc>
          <w:tcPr>
            <w:tcW w:w="3428" w:type="dxa"/>
            <w:shd w:val="clear" w:color="auto" w:fill="auto"/>
            <w:vAlign w:val="center"/>
          </w:tcPr>
          <w:p w14:paraId="7C4EFBB5" w14:textId="7486CE4B" w:rsidR="004C5579" w:rsidRPr="0035476D" w:rsidRDefault="004C5579" w:rsidP="004C5579">
            <w:pPr>
              <w:rPr>
                <w:rFonts w:ascii="Arial" w:hAnsi="Arial" w:cs="Arial"/>
                <w:color w:val="000000"/>
                <w:sz w:val="18"/>
                <w:szCs w:val="18"/>
              </w:rPr>
            </w:pPr>
            <w:r w:rsidRPr="0035476D">
              <w:rPr>
                <w:rFonts w:ascii="Arial" w:hAnsi="Arial" w:cs="Arial"/>
                <w:color w:val="000000"/>
                <w:sz w:val="18"/>
                <w:szCs w:val="18"/>
              </w:rPr>
              <w:t xml:space="preserve">High Bay and Low Bay Luminaires and </w:t>
            </w:r>
            <w:r w:rsidRPr="0035476D">
              <w:rPr>
                <w:rFonts w:ascii="Arial" w:hAnsi="Arial" w:cs="Arial"/>
                <w:color w:val="000000"/>
                <w:sz w:val="18"/>
                <w:szCs w:val="18"/>
              </w:rPr>
              <w:lastRenderedPageBreak/>
              <w:t>Retrofit Kits</w:t>
            </w:r>
          </w:p>
        </w:tc>
        <w:tc>
          <w:tcPr>
            <w:tcW w:w="1315" w:type="dxa"/>
            <w:shd w:val="clear" w:color="auto" w:fill="auto"/>
            <w:vAlign w:val="center"/>
          </w:tcPr>
          <w:p w14:paraId="7D1B5579" w14:textId="550C7531" w:rsidR="004C5579" w:rsidRPr="0035476D" w:rsidRDefault="004C5579" w:rsidP="004C5579">
            <w:pPr>
              <w:rPr>
                <w:rFonts w:ascii="Arial" w:hAnsi="Arial" w:cs="Arial"/>
                <w:color w:val="000000"/>
                <w:sz w:val="18"/>
                <w:szCs w:val="18"/>
              </w:rPr>
            </w:pPr>
            <w:r w:rsidRPr="0035476D">
              <w:rPr>
                <w:rFonts w:ascii="Arial" w:hAnsi="Arial" w:cs="Arial"/>
                <w:color w:val="000000"/>
                <w:sz w:val="18"/>
                <w:szCs w:val="18"/>
              </w:rPr>
              <w:lastRenderedPageBreak/>
              <w:t>20-50</w:t>
            </w:r>
            <w:r w:rsidRPr="0035476D">
              <w:rPr>
                <w:rFonts w:ascii="Cambria Math" w:hAnsi="Cambria Math" w:cs="Cambria Math"/>
                <w:color w:val="000000"/>
                <w:sz w:val="18"/>
                <w:szCs w:val="18"/>
              </w:rPr>
              <w:t>⁰</w:t>
            </w:r>
          </w:p>
        </w:tc>
        <w:tc>
          <w:tcPr>
            <w:tcW w:w="1338" w:type="dxa"/>
            <w:shd w:val="clear" w:color="auto" w:fill="auto"/>
            <w:vAlign w:val="center"/>
          </w:tcPr>
          <w:p w14:paraId="1CAAF394" w14:textId="1A942D15" w:rsidR="004C5579" w:rsidRPr="0035476D" w:rsidRDefault="004C5579" w:rsidP="004C5579">
            <w:pPr>
              <w:rPr>
                <w:rFonts w:ascii="Arial" w:hAnsi="Arial" w:cs="Arial"/>
                <w:color w:val="000000"/>
                <w:sz w:val="18"/>
                <w:szCs w:val="18"/>
              </w:rPr>
            </w:pPr>
            <w:r w:rsidRPr="0035476D">
              <w:rPr>
                <w:rFonts w:ascii="Arial" w:hAnsi="Arial" w:cs="Arial"/>
                <w:color w:val="000000"/>
                <w:sz w:val="18"/>
                <w:szCs w:val="18"/>
              </w:rPr>
              <w:t>≥30%</w:t>
            </w:r>
          </w:p>
        </w:tc>
      </w:tr>
      <w:tr w:rsidR="00FC16C5" w:rsidRPr="00FD3DAA" w14:paraId="2DDD0DC7" w14:textId="77777777" w:rsidTr="00FC16C5">
        <w:trPr>
          <w:trHeight w:val="170"/>
          <w:jc w:val="center"/>
        </w:trPr>
        <w:tc>
          <w:tcPr>
            <w:tcW w:w="3428" w:type="dxa"/>
            <w:vMerge w:val="restart"/>
            <w:shd w:val="clear" w:color="auto" w:fill="auto"/>
            <w:vAlign w:val="center"/>
            <w:hideMark/>
          </w:tcPr>
          <w:p w14:paraId="33FB9948" w14:textId="6106F902" w:rsidR="002505EA" w:rsidRPr="0035476D" w:rsidRDefault="004C5579" w:rsidP="00B0412D">
            <w:pPr>
              <w:rPr>
                <w:rFonts w:ascii="Arial" w:hAnsi="Arial" w:cs="Arial"/>
                <w:color w:val="000000"/>
                <w:sz w:val="18"/>
                <w:szCs w:val="18"/>
              </w:rPr>
            </w:pPr>
            <w:r w:rsidRPr="0035476D">
              <w:rPr>
                <w:rFonts w:ascii="Arial" w:hAnsi="Arial" w:cs="Arial"/>
                <w:color w:val="000000"/>
                <w:sz w:val="18"/>
                <w:szCs w:val="18"/>
              </w:rPr>
              <w:lastRenderedPageBreak/>
              <w:t>High Bay Aisle Luminaires</w:t>
            </w:r>
          </w:p>
        </w:tc>
        <w:tc>
          <w:tcPr>
            <w:tcW w:w="1315" w:type="dxa"/>
            <w:shd w:val="clear" w:color="auto" w:fill="auto"/>
            <w:vAlign w:val="center"/>
            <w:hideMark/>
          </w:tcPr>
          <w:p w14:paraId="56343519" w14:textId="0583BEDA" w:rsidR="002505EA" w:rsidRPr="0035476D" w:rsidRDefault="002505EA" w:rsidP="00B0412D">
            <w:pPr>
              <w:rPr>
                <w:rFonts w:ascii="Arial" w:hAnsi="Arial" w:cs="Arial"/>
                <w:color w:val="000000"/>
                <w:sz w:val="18"/>
                <w:szCs w:val="18"/>
              </w:rPr>
            </w:pPr>
            <w:r w:rsidRPr="0035476D">
              <w:rPr>
                <w:rFonts w:ascii="Arial" w:hAnsi="Arial" w:cs="Arial"/>
                <w:color w:val="000000"/>
                <w:sz w:val="18"/>
                <w:szCs w:val="18"/>
              </w:rPr>
              <w:t>20-50</w:t>
            </w:r>
            <w:r w:rsidRPr="0035476D">
              <w:rPr>
                <w:rFonts w:ascii="Cambria Math" w:hAnsi="Cambria Math" w:cs="Cambria Math"/>
                <w:color w:val="000000"/>
                <w:sz w:val="18"/>
                <w:szCs w:val="18"/>
              </w:rPr>
              <w:t>⁰</w:t>
            </w:r>
          </w:p>
        </w:tc>
        <w:tc>
          <w:tcPr>
            <w:tcW w:w="1338" w:type="dxa"/>
            <w:shd w:val="clear" w:color="auto" w:fill="auto"/>
            <w:vAlign w:val="center"/>
            <w:hideMark/>
          </w:tcPr>
          <w:p w14:paraId="2BE5E709" w14:textId="12F220F0" w:rsidR="002505EA" w:rsidRPr="0035476D" w:rsidRDefault="004C5579" w:rsidP="00B0412D">
            <w:pPr>
              <w:rPr>
                <w:rFonts w:ascii="Arial" w:hAnsi="Arial" w:cs="Arial"/>
                <w:color w:val="000000"/>
                <w:sz w:val="18"/>
                <w:szCs w:val="18"/>
              </w:rPr>
            </w:pPr>
            <w:r w:rsidRPr="0035476D">
              <w:rPr>
                <w:rFonts w:ascii="Arial" w:hAnsi="Arial" w:cs="Arial"/>
                <w:color w:val="000000"/>
                <w:sz w:val="18"/>
                <w:szCs w:val="18"/>
              </w:rPr>
              <w:t>≥5</w:t>
            </w:r>
            <w:r w:rsidR="002505EA" w:rsidRPr="0035476D">
              <w:rPr>
                <w:rFonts w:ascii="Arial" w:hAnsi="Arial" w:cs="Arial"/>
                <w:color w:val="000000"/>
                <w:sz w:val="18"/>
                <w:szCs w:val="18"/>
              </w:rPr>
              <w:t>0%</w:t>
            </w:r>
          </w:p>
        </w:tc>
      </w:tr>
      <w:tr w:rsidR="00FC16C5" w:rsidRPr="00FD3DAA" w14:paraId="557FC11D" w14:textId="77777777" w:rsidTr="00FC16C5">
        <w:trPr>
          <w:trHeight w:val="98"/>
          <w:jc w:val="center"/>
        </w:trPr>
        <w:tc>
          <w:tcPr>
            <w:tcW w:w="3428" w:type="dxa"/>
            <w:vMerge/>
            <w:shd w:val="clear" w:color="auto" w:fill="auto"/>
            <w:vAlign w:val="center"/>
            <w:hideMark/>
          </w:tcPr>
          <w:p w14:paraId="1466460A" w14:textId="77777777" w:rsidR="002505EA" w:rsidRPr="0035476D" w:rsidRDefault="002505EA" w:rsidP="00B0412D">
            <w:pPr>
              <w:rPr>
                <w:rFonts w:ascii="Arial" w:hAnsi="Arial" w:cs="Arial"/>
                <w:color w:val="000000"/>
                <w:sz w:val="18"/>
                <w:szCs w:val="18"/>
              </w:rPr>
            </w:pPr>
          </w:p>
        </w:tc>
        <w:tc>
          <w:tcPr>
            <w:tcW w:w="1315" w:type="dxa"/>
            <w:shd w:val="clear" w:color="auto" w:fill="auto"/>
            <w:vAlign w:val="center"/>
            <w:hideMark/>
          </w:tcPr>
          <w:p w14:paraId="3299B0B2" w14:textId="333F1235" w:rsidR="002505EA" w:rsidRPr="0035476D" w:rsidRDefault="004C5579" w:rsidP="00B0412D">
            <w:pPr>
              <w:rPr>
                <w:rFonts w:ascii="Arial" w:hAnsi="Arial" w:cs="Arial"/>
                <w:color w:val="000000"/>
                <w:sz w:val="18"/>
                <w:szCs w:val="18"/>
              </w:rPr>
            </w:pPr>
            <w:r w:rsidRPr="0035476D">
              <w:rPr>
                <w:rFonts w:ascii="Arial" w:hAnsi="Arial" w:cs="Arial"/>
                <w:color w:val="000000"/>
                <w:sz w:val="18"/>
                <w:szCs w:val="18"/>
              </w:rPr>
              <w:t>0-2</w:t>
            </w:r>
            <w:r w:rsidR="002505EA" w:rsidRPr="0035476D">
              <w:rPr>
                <w:rFonts w:ascii="Arial" w:hAnsi="Arial" w:cs="Arial"/>
                <w:color w:val="000000"/>
                <w:sz w:val="18"/>
                <w:szCs w:val="18"/>
              </w:rPr>
              <w:t>0</w:t>
            </w:r>
            <w:r w:rsidR="002505EA" w:rsidRPr="0035476D">
              <w:rPr>
                <w:rFonts w:ascii="Cambria Math" w:hAnsi="Cambria Math" w:cs="Cambria Math"/>
                <w:color w:val="000000"/>
                <w:sz w:val="18"/>
                <w:szCs w:val="18"/>
              </w:rPr>
              <w:t>⁰</w:t>
            </w:r>
          </w:p>
        </w:tc>
        <w:tc>
          <w:tcPr>
            <w:tcW w:w="1338" w:type="dxa"/>
            <w:shd w:val="clear" w:color="auto" w:fill="auto"/>
            <w:vAlign w:val="center"/>
            <w:hideMark/>
          </w:tcPr>
          <w:p w14:paraId="4D1C65F2" w14:textId="4C7E190E" w:rsidR="002505EA" w:rsidRPr="0035476D" w:rsidRDefault="004C5579" w:rsidP="00B0412D">
            <w:pPr>
              <w:rPr>
                <w:rFonts w:ascii="Arial" w:hAnsi="Arial" w:cs="Arial"/>
                <w:color w:val="000000"/>
                <w:sz w:val="18"/>
                <w:szCs w:val="18"/>
              </w:rPr>
            </w:pPr>
            <w:r w:rsidRPr="0035476D">
              <w:rPr>
                <w:rFonts w:ascii="Arial" w:hAnsi="Arial" w:cs="Arial"/>
                <w:color w:val="000000"/>
                <w:sz w:val="18"/>
                <w:szCs w:val="18"/>
              </w:rPr>
              <w:t>≤30</w:t>
            </w:r>
            <w:r w:rsidR="002505EA" w:rsidRPr="0035476D">
              <w:rPr>
                <w:rFonts w:ascii="Arial" w:hAnsi="Arial" w:cs="Arial"/>
                <w:color w:val="000000"/>
                <w:sz w:val="18"/>
                <w:szCs w:val="18"/>
              </w:rPr>
              <w:t>%</w:t>
            </w:r>
          </w:p>
        </w:tc>
      </w:tr>
    </w:tbl>
    <w:p w14:paraId="2D3EFD19" w14:textId="77777777" w:rsidR="002505EA" w:rsidRPr="00CD3B08" w:rsidRDefault="002505EA" w:rsidP="00AE1753">
      <w:pPr>
        <w:jc w:val="both"/>
        <w:rPr>
          <w:rFonts w:ascii="Arial" w:hAnsi="Arial" w:cs="Arial"/>
          <w:sz w:val="20"/>
        </w:rPr>
      </w:pPr>
    </w:p>
    <w:p w14:paraId="0BA66AC2" w14:textId="77777777" w:rsidR="00AE1753" w:rsidRPr="00CD3B08" w:rsidRDefault="00AE1753" w:rsidP="00AE1753">
      <w:pPr>
        <w:jc w:val="both"/>
        <w:rPr>
          <w:rFonts w:ascii="Arial" w:hAnsi="Arial" w:cs="Arial"/>
          <w:sz w:val="20"/>
        </w:rPr>
      </w:pPr>
    </w:p>
    <w:p w14:paraId="718CC729" w14:textId="14C24C83" w:rsidR="00EF6429" w:rsidRPr="003C7382" w:rsidRDefault="00EF6429" w:rsidP="00EF6429">
      <w:pPr>
        <w:rPr>
          <w:rFonts w:ascii="Arial" w:hAnsi="Arial" w:cs="Arial"/>
          <w:sz w:val="20"/>
          <w:szCs w:val="20"/>
        </w:rPr>
      </w:pPr>
      <w:r w:rsidRPr="003C7382">
        <w:rPr>
          <w:rFonts w:ascii="Arial" w:hAnsi="Arial" w:cs="Arial"/>
          <w:sz w:val="20"/>
          <w:szCs w:val="20"/>
        </w:rPr>
        <w:t>Many linear fluorescent fixtures commonly over-illuminate the area directly beneath the fixture (0° - 20°) simply because they lack the ability to direct light to where it is needed most</w:t>
      </w:r>
      <w:r w:rsidR="00D14767">
        <w:rPr>
          <w:rFonts w:ascii="Arial" w:hAnsi="Arial" w:cs="Arial"/>
          <w:sz w:val="20"/>
          <w:szCs w:val="20"/>
        </w:rPr>
        <w:t>. L</w:t>
      </w:r>
      <w:r w:rsidRPr="003C7382">
        <w:rPr>
          <w:rFonts w:ascii="Arial" w:hAnsi="Arial" w:cs="Arial"/>
          <w:sz w:val="20"/>
          <w:szCs w:val="20"/>
        </w:rPr>
        <w:t>inear fluorescent sources may achieve a higher average illuminance than an LED source (and have a correspondingly higher lumen output)</w:t>
      </w:r>
      <w:proofErr w:type="gramStart"/>
      <w:r w:rsidRPr="003C7382">
        <w:rPr>
          <w:rFonts w:ascii="Arial" w:hAnsi="Arial" w:cs="Arial"/>
          <w:sz w:val="20"/>
          <w:szCs w:val="20"/>
        </w:rPr>
        <w:t>,</w:t>
      </w:r>
      <w:proofErr w:type="gramEnd"/>
      <w:r w:rsidRPr="003C7382">
        <w:rPr>
          <w:rFonts w:ascii="Arial" w:hAnsi="Arial" w:cs="Arial"/>
          <w:sz w:val="20"/>
          <w:szCs w:val="20"/>
        </w:rPr>
        <w:t xml:space="preserve"> however they achieve similar minimum illuminance because the LED fixture may be able to do a better job of directing light out to the edges of the illuminated space. </w:t>
      </w:r>
    </w:p>
    <w:p w14:paraId="40C172F2" w14:textId="77777777" w:rsidR="00EF6429" w:rsidRPr="003C7382" w:rsidRDefault="00EF6429" w:rsidP="00EF6429">
      <w:pPr>
        <w:rPr>
          <w:rFonts w:ascii="Arial" w:hAnsi="Arial" w:cs="Arial"/>
          <w:sz w:val="20"/>
          <w:szCs w:val="20"/>
        </w:rPr>
      </w:pPr>
    </w:p>
    <w:p w14:paraId="58637BEA" w14:textId="412788C7" w:rsidR="00EF6429" w:rsidRPr="003C7382" w:rsidRDefault="00EF6429" w:rsidP="00EF6429">
      <w:pPr>
        <w:rPr>
          <w:rFonts w:ascii="Arial" w:hAnsi="Arial" w:cs="Arial"/>
          <w:sz w:val="20"/>
          <w:szCs w:val="20"/>
        </w:rPr>
      </w:pPr>
      <w:r w:rsidRPr="003C7382">
        <w:rPr>
          <w:rFonts w:ascii="Arial" w:hAnsi="Arial" w:cs="Arial"/>
          <w:sz w:val="20"/>
          <w:szCs w:val="20"/>
        </w:rPr>
        <w:t xml:space="preserve">The analysis of lumen performance focuses on light distribution differences from Fluorescent </w:t>
      </w:r>
      <w:r w:rsidR="00D14767">
        <w:rPr>
          <w:rFonts w:ascii="Arial" w:hAnsi="Arial" w:cs="Arial"/>
          <w:sz w:val="20"/>
          <w:szCs w:val="20"/>
        </w:rPr>
        <w:t>and</w:t>
      </w:r>
      <w:r w:rsidRPr="003C7382">
        <w:rPr>
          <w:rFonts w:ascii="Arial" w:hAnsi="Arial" w:cs="Arial"/>
          <w:sz w:val="20"/>
          <w:szCs w:val="20"/>
        </w:rPr>
        <w:t xml:space="preserve"> LED technologies. Fluorescent</w:t>
      </w:r>
      <w:r w:rsidRPr="003C7382" w:rsidDel="006234EB">
        <w:rPr>
          <w:rFonts w:ascii="Arial" w:hAnsi="Arial" w:cs="Arial"/>
          <w:sz w:val="20"/>
          <w:szCs w:val="20"/>
        </w:rPr>
        <w:t>,</w:t>
      </w:r>
      <w:r w:rsidRPr="003C7382">
        <w:rPr>
          <w:rFonts w:ascii="Arial" w:hAnsi="Arial" w:cs="Arial"/>
          <w:sz w:val="20"/>
          <w:szCs w:val="20"/>
        </w:rPr>
        <w:t xml:space="preserve"> as </w:t>
      </w:r>
      <w:r w:rsidR="00D14767">
        <w:rPr>
          <w:rFonts w:ascii="Arial" w:hAnsi="Arial" w:cs="Arial"/>
          <w:sz w:val="20"/>
          <w:szCs w:val="20"/>
        </w:rPr>
        <w:t xml:space="preserve">an </w:t>
      </w:r>
      <w:proofErr w:type="spellStart"/>
      <w:r w:rsidR="006234EB" w:rsidRPr="003C7382">
        <w:rPr>
          <w:rFonts w:ascii="Arial" w:hAnsi="Arial" w:cs="Arial"/>
          <w:sz w:val="20"/>
          <w:szCs w:val="20"/>
        </w:rPr>
        <w:t>o</w:t>
      </w:r>
      <w:r w:rsidRPr="003C7382">
        <w:rPr>
          <w:rFonts w:ascii="Arial" w:hAnsi="Arial" w:cs="Arial"/>
          <w:sz w:val="20"/>
          <w:szCs w:val="20"/>
        </w:rPr>
        <w:t>mni</w:t>
      </w:r>
      <w:proofErr w:type="spellEnd"/>
      <w:r w:rsidRPr="003C7382">
        <w:rPr>
          <w:rFonts w:ascii="Arial" w:hAnsi="Arial" w:cs="Arial"/>
          <w:sz w:val="20"/>
          <w:szCs w:val="20"/>
        </w:rPr>
        <w:t xml:space="preserve">-directional source, </w:t>
      </w:r>
      <w:r w:rsidR="00D14767">
        <w:rPr>
          <w:rFonts w:ascii="Arial" w:hAnsi="Arial" w:cs="Arial"/>
          <w:sz w:val="20"/>
          <w:szCs w:val="20"/>
        </w:rPr>
        <w:t>is</w:t>
      </w:r>
      <w:r w:rsidR="00D14767" w:rsidRPr="003C7382" w:rsidDel="006234EB">
        <w:rPr>
          <w:rFonts w:ascii="Arial" w:hAnsi="Arial" w:cs="Arial"/>
          <w:sz w:val="20"/>
          <w:szCs w:val="20"/>
        </w:rPr>
        <w:t xml:space="preserve"> </w:t>
      </w:r>
      <w:r w:rsidRPr="003C7382">
        <w:rPr>
          <w:rFonts w:ascii="Arial" w:hAnsi="Arial" w:cs="Arial"/>
          <w:sz w:val="20"/>
          <w:szCs w:val="20"/>
        </w:rPr>
        <w:t>not as successful in effectively spreading out light and avoiding pools of light below each fixture, which is sometimes seen in product data as a higher percentage of lumens in the 0 - 20° zone. Th</w:t>
      </w:r>
      <w:r w:rsidR="00457358" w:rsidRPr="003C7382">
        <w:rPr>
          <w:rFonts w:ascii="Arial" w:hAnsi="Arial" w:cs="Arial"/>
          <w:sz w:val="20"/>
          <w:szCs w:val="20"/>
        </w:rPr>
        <w:t>is</w:t>
      </w:r>
      <w:r w:rsidRPr="003C7382">
        <w:rPr>
          <w:rFonts w:ascii="Arial" w:hAnsi="Arial" w:cs="Arial"/>
          <w:sz w:val="20"/>
          <w:szCs w:val="20"/>
        </w:rPr>
        <w:t xml:space="preserve"> analysis estimates the degree to which LEDs with better directional light control can replace fluorescent products with higher total light outputs</w:t>
      </w:r>
      <w:r w:rsidR="00457358" w:rsidRPr="003C7382">
        <w:rPr>
          <w:rFonts w:ascii="Arial" w:hAnsi="Arial" w:cs="Arial"/>
          <w:sz w:val="20"/>
          <w:szCs w:val="20"/>
        </w:rPr>
        <w:t>. T</w:t>
      </w:r>
      <w:r w:rsidRPr="003C7382">
        <w:rPr>
          <w:rFonts w:ascii="Arial" w:hAnsi="Arial" w:cs="Arial"/>
          <w:sz w:val="20"/>
          <w:szCs w:val="20"/>
        </w:rPr>
        <w:t xml:space="preserve">he same data from </w:t>
      </w:r>
      <w:r w:rsidR="00457358" w:rsidRPr="003C7382">
        <w:rPr>
          <w:rFonts w:ascii="Arial" w:hAnsi="Arial" w:cs="Arial"/>
          <w:sz w:val="20"/>
          <w:szCs w:val="20"/>
        </w:rPr>
        <w:t xml:space="preserve">Revision 2 of the </w:t>
      </w:r>
      <w:r w:rsidRPr="003C7382">
        <w:rPr>
          <w:rFonts w:ascii="Arial" w:hAnsi="Arial" w:cs="Arial"/>
          <w:sz w:val="20"/>
          <w:szCs w:val="20"/>
        </w:rPr>
        <w:t>workpaper is used for this update as the fundamental relationships of light distribution have not changed.</w:t>
      </w:r>
    </w:p>
    <w:p w14:paraId="2357CC1E" w14:textId="0D1C087D" w:rsidR="00BC69E5" w:rsidRPr="003C7382" w:rsidRDefault="00BC69E5" w:rsidP="00EF6429">
      <w:pPr>
        <w:rPr>
          <w:rFonts w:ascii="Arial" w:hAnsi="Arial" w:cs="Arial"/>
          <w:sz w:val="20"/>
          <w:szCs w:val="20"/>
        </w:rPr>
      </w:pPr>
    </w:p>
    <w:p w14:paraId="39272A69" w14:textId="494E53B5" w:rsidR="00EF6429" w:rsidRPr="003C7382" w:rsidRDefault="00EF6429" w:rsidP="00EF6429">
      <w:pPr>
        <w:rPr>
          <w:rFonts w:ascii="Arial" w:hAnsi="Arial" w:cs="Arial"/>
          <w:sz w:val="20"/>
          <w:szCs w:val="20"/>
        </w:rPr>
      </w:pPr>
      <w:r w:rsidRPr="003C7382">
        <w:rPr>
          <w:rFonts w:ascii="Arial" w:hAnsi="Arial" w:cs="Arial"/>
          <w:sz w:val="20"/>
          <w:szCs w:val="20"/>
        </w:rPr>
        <w:t>This analysis compares fixtures based on the lumen output in the 20° - 50° range to ignore the hot spot of light that may appear directly under a fixture</w:t>
      </w:r>
      <w:r w:rsidR="00457358" w:rsidRPr="003C7382">
        <w:rPr>
          <w:rFonts w:ascii="Arial" w:hAnsi="Arial" w:cs="Arial"/>
          <w:sz w:val="20"/>
          <w:szCs w:val="20"/>
        </w:rPr>
        <w:t>.</w:t>
      </w:r>
      <w:r w:rsidRPr="003C7382">
        <w:rPr>
          <w:rFonts w:ascii="Arial" w:hAnsi="Arial" w:cs="Arial"/>
          <w:sz w:val="20"/>
          <w:szCs w:val="20"/>
        </w:rPr>
        <w:t xml:space="preserve"> </w:t>
      </w:r>
      <w:r w:rsidR="00457358" w:rsidRPr="003C7382">
        <w:rPr>
          <w:rFonts w:ascii="Arial" w:hAnsi="Arial" w:cs="Arial"/>
          <w:sz w:val="20"/>
          <w:szCs w:val="20"/>
        </w:rPr>
        <w:t>C</w:t>
      </w:r>
      <w:r w:rsidRPr="003C7382">
        <w:rPr>
          <w:rFonts w:ascii="Arial" w:hAnsi="Arial" w:cs="Arial"/>
          <w:sz w:val="20"/>
          <w:szCs w:val="20"/>
        </w:rPr>
        <w:t xml:space="preserve">ustomers are often happy with the light output of LED fixtures with lower </w:t>
      </w:r>
      <w:r w:rsidR="00457358" w:rsidRPr="003C7382">
        <w:rPr>
          <w:rFonts w:ascii="Arial" w:hAnsi="Arial" w:cs="Arial"/>
          <w:sz w:val="20"/>
          <w:szCs w:val="20"/>
        </w:rPr>
        <w:t xml:space="preserve">total </w:t>
      </w:r>
      <w:r w:rsidRPr="003C7382">
        <w:rPr>
          <w:rFonts w:ascii="Arial" w:hAnsi="Arial" w:cs="Arial"/>
          <w:sz w:val="20"/>
          <w:szCs w:val="20"/>
        </w:rPr>
        <w:t xml:space="preserve">light output than the </w:t>
      </w:r>
      <w:r w:rsidR="00D14767">
        <w:rPr>
          <w:rFonts w:ascii="Arial" w:hAnsi="Arial" w:cs="Arial"/>
          <w:sz w:val="20"/>
          <w:szCs w:val="20"/>
        </w:rPr>
        <w:t xml:space="preserve">linear </w:t>
      </w:r>
      <w:r w:rsidRPr="003C7382">
        <w:rPr>
          <w:rFonts w:ascii="Arial" w:hAnsi="Arial" w:cs="Arial"/>
          <w:sz w:val="20"/>
          <w:szCs w:val="20"/>
        </w:rPr>
        <w:t>fluorescent fixtures replaced</w:t>
      </w:r>
      <w:r w:rsidR="00457358" w:rsidRPr="003C7382">
        <w:rPr>
          <w:rFonts w:ascii="Arial" w:hAnsi="Arial" w:cs="Arial"/>
          <w:sz w:val="20"/>
          <w:szCs w:val="20"/>
        </w:rPr>
        <w:t xml:space="preserve"> which further supports utilizing the zonal lumen method</w:t>
      </w:r>
      <w:r w:rsidRPr="003C7382">
        <w:rPr>
          <w:rFonts w:ascii="Arial" w:hAnsi="Arial" w:cs="Arial"/>
          <w:sz w:val="20"/>
          <w:szCs w:val="20"/>
        </w:rPr>
        <w:t>.</w:t>
      </w:r>
    </w:p>
    <w:p w14:paraId="2E92BDD6" w14:textId="77777777" w:rsidR="00EF6429" w:rsidRPr="003C7382" w:rsidRDefault="00EF6429" w:rsidP="00EF6429">
      <w:pPr>
        <w:rPr>
          <w:rFonts w:ascii="Arial" w:hAnsi="Arial" w:cs="Arial"/>
          <w:sz w:val="20"/>
          <w:szCs w:val="20"/>
        </w:rPr>
      </w:pPr>
    </w:p>
    <w:p w14:paraId="4E897D5A" w14:textId="69AFBB08" w:rsidR="00EF6429" w:rsidRPr="003C7382" w:rsidRDefault="00EF6429" w:rsidP="00EF6429">
      <w:pPr>
        <w:rPr>
          <w:rFonts w:ascii="Arial" w:hAnsi="Arial" w:cs="Arial"/>
          <w:sz w:val="20"/>
          <w:szCs w:val="20"/>
        </w:rPr>
      </w:pPr>
      <w:r w:rsidRPr="003C7382">
        <w:rPr>
          <w:rFonts w:ascii="Arial" w:hAnsi="Arial" w:cs="Arial"/>
          <w:sz w:val="20"/>
          <w:szCs w:val="20"/>
        </w:rPr>
        <w:t xml:space="preserve">The lumens in the 20° - 50° range </w:t>
      </w:r>
      <w:r w:rsidR="006234EB" w:rsidRPr="003C7382">
        <w:rPr>
          <w:rFonts w:ascii="Arial" w:hAnsi="Arial" w:cs="Arial"/>
          <w:sz w:val="20"/>
          <w:szCs w:val="20"/>
        </w:rPr>
        <w:t xml:space="preserve">were </w:t>
      </w:r>
      <w:r w:rsidRPr="003C7382">
        <w:rPr>
          <w:rFonts w:ascii="Arial" w:hAnsi="Arial" w:cs="Arial"/>
          <w:sz w:val="20"/>
          <w:szCs w:val="20"/>
        </w:rPr>
        <w:t xml:space="preserve">calculated from the DLC QPL based on the measured light output of each fixture multiplied by the </w:t>
      </w:r>
      <w:r w:rsidR="006234EB" w:rsidRPr="003C7382">
        <w:rPr>
          <w:rFonts w:ascii="Arial" w:hAnsi="Arial" w:cs="Arial"/>
          <w:sz w:val="20"/>
          <w:szCs w:val="20"/>
        </w:rPr>
        <w:t>percent</w:t>
      </w:r>
      <w:r w:rsidRPr="003C7382">
        <w:rPr>
          <w:rFonts w:ascii="Arial" w:hAnsi="Arial" w:cs="Arial"/>
          <w:sz w:val="20"/>
          <w:szCs w:val="20"/>
        </w:rPr>
        <w:t xml:space="preserve"> of lumens in that range labeled on the DLC </w:t>
      </w:r>
      <w:r w:rsidR="006234EB" w:rsidRPr="003C7382">
        <w:rPr>
          <w:rFonts w:ascii="Arial" w:hAnsi="Arial" w:cs="Arial"/>
          <w:sz w:val="20"/>
          <w:szCs w:val="20"/>
        </w:rPr>
        <w:t xml:space="preserve">QPL </w:t>
      </w:r>
      <w:r w:rsidRPr="003C7382">
        <w:rPr>
          <w:rFonts w:ascii="Arial" w:hAnsi="Arial" w:cs="Arial"/>
          <w:sz w:val="20"/>
          <w:szCs w:val="20"/>
        </w:rPr>
        <w:t xml:space="preserve">spreadsheet at ZL-HBLB: 20-50 or ZL-HBA: 20-50. The lumen output for base case fixtures in the 20° - 50° range was calculated from the zonal lumen summary tables of manufacturer photometric reports.  These values were corrected for lamp lumens and ballast factor based on </w:t>
      </w:r>
      <w:r w:rsidR="00D14767">
        <w:rPr>
          <w:rFonts w:ascii="Arial" w:hAnsi="Arial" w:cs="Arial"/>
          <w:sz w:val="20"/>
          <w:szCs w:val="20"/>
        </w:rPr>
        <w:t>federal</w:t>
      </w:r>
      <w:r w:rsidR="00D14767" w:rsidRPr="003C7382">
        <w:rPr>
          <w:rFonts w:ascii="Arial" w:hAnsi="Arial" w:cs="Arial"/>
          <w:sz w:val="20"/>
          <w:szCs w:val="20"/>
        </w:rPr>
        <w:t xml:space="preserve"> </w:t>
      </w:r>
      <w:r w:rsidRPr="003C7382">
        <w:rPr>
          <w:rFonts w:ascii="Arial" w:hAnsi="Arial" w:cs="Arial"/>
          <w:sz w:val="20"/>
          <w:szCs w:val="20"/>
        </w:rPr>
        <w:t xml:space="preserve">standards for </w:t>
      </w:r>
      <w:r w:rsidR="00457358" w:rsidRPr="003C7382">
        <w:rPr>
          <w:rFonts w:ascii="Arial" w:hAnsi="Arial" w:cs="Arial"/>
          <w:sz w:val="20"/>
          <w:szCs w:val="20"/>
        </w:rPr>
        <w:t>T8</w:t>
      </w:r>
      <w:r w:rsidRPr="003C7382">
        <w:rPr>
          <w:rFonts w:ascii="Arial" w:hAnsi="Arial" w:cs="Arial"/>
          <w:sz w:val="20"/>
          <w:szCs w:val="20"/>
        </w:rPr>
        <w:t xml:space="preserve"> linear fluorescent lamps.</w:t>
      </w:r>
    </w:p>
    <w:p w14:paraId="12C4A640" w14:textId="77777777" w:rsidR="00EF6429" w:rsidRDefault="00EF6429" w:rsidP="00EF6429">
      <w:pPr>
        <w:rPr>
          <w:rFonts w:ascii="Arial" w:hAnsi="Arial"/>
          <w:sz w:val="20"/>
        </w:rPr>
      </w:pPr>
    </w:p>
    <w:p w14:paraId="4D72FCC2" w14:textId="730D049B" w:rsidR="00EF6429" w:rsidRPr="009842A2" w:rsidRDefault="002245D6" w:rsidP="00EF6429">
      <w:pPr>
        <w:rPr>
          <w:rFonts w:ascii="Arial" w:hAnsi="Arial" w:cs="Arial"/>
          <w:sz w:val="20"/>
          <w:szCs w:val="20"/>
          <w:highlight w:val="yellow"/>
        </w:rPr>
      </w:pPr>
      <w:r w:rsidRPr="00A317FF">
        <w:rPr>
          <w:rFonts w:ascii="Arial" w:hAnsi="Arial"/>
          <w:sz w:val="20"/>
        </w:rPr>
        <w:t>The lumen output in the 20° - 50° range is the basis for the division of LED products into appropriate measure codes.</w:t>
      </w:r>
      <w:r>
        <w:rPr>
          <w:rFonts w:ascii="Arial" w:hAnsi="Arial"/>
          <w:sz w:val="20"/>
        </w:rPr>
        <w:t xml:space="preserve"> </w:t>
      </w:r>
      <w:r w:rsidR="00EF6429" w:rsidRPr="00C021B1">
        <w:rPr>
          <w:rFonts w:ascii="Arial" w:hAnsi="Arial" w:cs="Arial"/>
          <w:sz w:val="20"/>
          <w:szCs w:val="20"/>
        </w:rPr>
        <w:t xml:space="preserve">The LED products equivalent in lumen output in the 20° - 50° range were grouped to the base case fixtures as much as possible, given the limitation of varying LED fixture performance. The </w:t>
      </w:r>
      <w:r w:rsidR="00457358" w:rsidRPr="00C021B1">
        <w:rPr>
          <w:rFonts w:ascii="Arial" w:hAnsi="Arial" w:cs="Arial"/>
          <w:sz w:val="20"/>
          <w:szCs w:val="20"/>
        </w:rPr>
        <w:t>HPT8</w:t>
      </w:r>
      <w:r w:rsidR="00EF6429" w:rsidRPr="00C021B1">
        <w:rPr>
          <w:rFonts w:ascii="Arial" w:hAnsi="Arial" w:cs="Arial"/>
          <w:sz w:val="20"/>
          <w:szCs w:val="20"/>
        </w:rPr>
        <w:t xml:space="preserve"> linear fluorescent fixtures were compared to the group of DLC-approved </w:t>
      </w:r>
      <w:r w:rsidR="003C7382" w:rsidRPr="00C021B1">
        <w:rPr>
          <w:rFonts w:ascii="Arial" w:hAnsi="Arial" w:cs="Arial"/>
          <w:sz w:val="20"/>
          <w:szCs w:val="20"/>
        </w:rPr>
        <w:t xml:space="preserve">LED </w:t>
      </w:r>
      <w:r w:rsidR="00EF6429" w:rsidRPr="00C021B1">
        <w:rPr>
          <w:rFonts w:ascii="Arial" w:hAnsi="Arial" w:cs="Arial"/>
          <w:sz w:val="20"/>
          <w:szCs w:val="20"/>
        </w:rPr>
        <w:t xml:space="preserve">fixtures that would best replace </w:t>
      </w:r>
      <w:r w:rsidR="003C7382" w:rsidRPr="00C021B1">
        <w:rPr>
          <w:rFonts w:ascii="Arial" w:hAnsi="Arial" w:cs="Arial"/>
          <w:sz w:val="20"/>
          <w:szCs w:val="20"/>
        </w:rPr>
        <w:t>the linear fluorescent fixtures</w:t>
      </w:r>
      <w:r w:rsidR="00EF6429" w:rsidRPr="00C021B1">
        <w:rPr>
          <w:rFonts w:ascii="Arial" w:hAnsi="Arial" w:cs="Arial"/>
          <w:sz w:val="20"/>
          <w:szCs w:val="20"/>
        </w:rPr>
        <w:t xml:space="preserve"> based on </w:t>
      </w:r>
      <w:proofErr w:type="spellStart"/>
      <w:r w:rsidR="00EF6429" w:rsidRPr="00C021B1">
        <w:rPr>
          <w:rFonts w:ascii="Arial" w:hAnsi="Arial" w:cs="Arial"/>
          <w:sz w:val="20"/>
          <w:szCs w:val="20"/>
        </w:rPr>
        <w:t>photopic</w:t>
      </w:r>
      <w:proofErr w:type="spellEnd"/>
      <w:r w:rsidR="00EF6429" w:rsidRPr="00C021B1">
        <w:rPr>
          <w:rFonts w:ascii="Arial" w:hAnsi="Arial" w:cs="Arial"/>
          <w:sz w:val="20"/>
          <w:szCs w:val="20"/>
        </w:rPr>
        <w:t xml:space="preserve"> lumens in the 20° - 50° zones. Measure codes were created by setting </w:t>
      </w:r>
      <w:r w:rsidR="003C7382" w:rsidRPr="00C021B1">
        <w:rPr>
          <w:rFonts w:ascii="Arial" w:hAnsi="Arial" w:cs="Arial"/>
          <w:sz w:val="20"/>
          <w:szCs w:val="20"/>
        </w:rPr>
        <w:t>LED</w:t>
      </w:r>
      <w:r w:rsidR="00EF6429" w:rsidRPr="00C021B1">
        <w:rPr>
          <w:rFonts w:ascii="Arial" w:hAnsi="Arial" w:cs="Arial"/>
          <w:sz w:val="20"/>
          <w:szCs w:val="20"/>
        </w:rPr>
        <w:t xml:space="preserve"> wattage</w:t>
      </w:r>
      <w:r w:rsidR="003C7382" w:rsidRPr="00C021B1">
        <w:rPr>
          <w:rFonts w:ascii="Arial" w:hAnsi="Arial" w:cs="Arial"/>
          <w:sz w:val="20"/>
          <w:szCs w:val="20"/>
        </w:rPr>
        <w:t xml:space="preserve"> ranges from the lumen equivalence of the base case</w:t>
      </w:r>
      <w:r w:rsidR="00EF6429" w:rsidRPr="00C021B1">
        <w:rPr>
          <w:rFonts w:ascii="Arial" w:hAnsi="Arial" w:cs="Arial"/>
          <w:sz w:val="20"/>
          <w:szCs w:val="20"/>
        </w:rPr>
        <w:t xml:space="preserve"> fixture lumen output. </w:t>
      </w:r>
    </w:p>
    <w:p w14:paraId="4F576BA7" w14:textId="77777777" w:rsidR="00EF6429" w:rsidRPr="009842A2" w:rsidRDefault="00EF6429" w:rsidP="00EF6429">
      <w:pPr>
        <w:rPr>
          <w:rFonts w:ascii="Arial" w:hAnsi="Arial" w:cs="Arial"/>
          <w:sz w:val="20"/>
          <w:szCs w:val="20"/>
          <w:highlight w:val="yellow"/>
        </w:rPr>
      </w:pPr>
    </w:p>
    <w:p w14:paraId="67C9C2F4" w14:textId="2E1C8A2F" w:rsidR="00EF6429" w:rsidRPr="00E35C1C" w:rsidRDefault="00AF654B" w:rsidP="00EF6429">
      <w:pPr>
        <w:rPr>
          <w:rFonts w:ascii="Arial" w:hAnsi="Arial" w:cs="Arial"/>
          <w:color w:val="000000"/>
          <w:sz w:val="20"/>
          <w:szCs w:val="20"/>
          <w:highlight w:val="yellow"/>
        </w:rPr>
      </w:pPr>
      <w:r w:rsidRPr="00E35C1C">
        <w:rPr>
          <w:rFonts w:ascii="Arial" w:hAnsi="Arial" w:cs="Arial"/>
          <w:color w:val="000000"/>
          <w:sz w:val="20"/>
          <w:szCs w:val="20"/>
        </w:rPr>
        <w:t xml:space="preserve">The </w:t>
      </w:r>
      <w:r w:rsidR="00EF6429" w:rsidRPr="00E35C1C">
        <w:rPr>
          <w:rFonts w:ascii="Arial" w:hAnsi="Arial" w:cs="Arial"/>
          <w:color w:val="000000"/>
          <w:sz w:val="20"/>
          <w:szCs w:val="20"/>
        </w:rPr>
        <w:t xml:space="preserve">DLC </w:t>
      </w:r>
      <w:r w:rsidRPr="00E35C1C">
        <w:rPr>
          <w:rFonts w:ascii="Arial" w:hAnsi="Arial" w:cs="Arial"/>
          <w:color w:val="000000"/>
          <w:sz w:val="20"/>
          <w:szCs w:val="20"/>
        </w:rPr>
        <w:t>QPL was analyzed</w:t>
      </w:r>
      <w:r w:rsidR="00EF6429" w:rsidRPr="00E35C1C">
        <w:rPr>
          <w:rFonts w:ascii="Arial" w:hAnsi="Arial" w:cs="Arial"/>
          <w:color w:val="000000"/>
          <w:sz w:val="20"/>
          <w:szCs w:val="20"/>
        </w:rPr>
        <w:t xml:space="preserve"> </w:t>
      </w:r>
      <w:r w:rsidR="00EF6429" w:rsidRPr="00C021B1">
        <w:rPr>
          <w:rFonts w:ascii="Arial" w:hAnsi="Arial" w:cs="Arial"/>
          <w:sz w:val="20"/>
          <w:szCs w:val="20"/>
        </w:rPr>
        <w:t xml:space="preserve">as of </w:t>
      </w:r>
      <w:r w:rsidR="00C17066">
        <w:rPr>
          <w:rFonts w:ascii="Arial" w:hAnsi="Arial" w:cs="Arial"/>
          <w:sz w:val="20"/>
          <w:szCs w:val="20"/>
        </w:rPr>
        <w:t>November</w:t>
      </w:r>
      <w:r w:rsidR="00C17066" w:rsidRPr="00C021B1">
        <w:rPr>
          <w:rFonts w:ascii="Arial" w:hAnsi="Arial" w:cs="Arial"/>
          <w:sz w:val="20"/>
          <w:szCs w:val="20"/>
        </w:rPr>
        <w:t xml:space="preserve"> </w:t>
      </w:r>
      <w:r w:rsidR="00EF6429" w:rsidRPr="00C021B1">
        <w:rPr>
          <w:rFonts w:ascii="Arial" w:hAnsi="Arial" w:cs="Arial"/>
          <w:sz w:val="20"/>
          <w:szCs w:val="20"/>
        </w:rPr>
        <w:t>201</w:t>
      </w:r>
      <w:r w:rsidR="00E73A2D" w:rsidRPr="00C021B1">
        <w:rPr>
          <w:rFonts w:ascii="Arial" w:hAnsi="Arial" w:cs="Arial"/>
          <w:sz w:val="20"/>
          <w:szCs w:val="20"/>
        </w:rPr>
        <w:t>8</w:t>
      </w:r>
      <w:r w:rsidR="00EF6429" w:rsidRPr="00C021B1" w:rsidDel="00AF654B">
        <w:rPr>
          <w:rFonts w:ascii="Arial" w:hAnsi="Arial" w:cs="Arial"/>
          <w:sz w:val="20"/>
          <w:szCs w:val="20"/>
        </w:rPr>
        <w:t xml:space="preserve"> </w:t>
      </w:r>
      <w:r w:rsidR="00EF6429" w:rsidRPr="00E35C1C">
        <w:rPr>
          <w:rFonts w:ascii="Arial" w:hAnsi="Arial" w:cs="Arial"/>
          <w:color w:val="000000"/>
          <w:sz w:val="20"/>
          <w:szCs w:val="20"/>
        </w:rPr>
        <w:t xml:space="preserve">to determine qualification of the applicable fixture population. </w:t>
      </w:r>
      <w:r w:rsidR="00E73A2D" w:rsidRPr="00E35C1C">
        <w:rPr>
          <w:rFonts w:ascii="Arial" w:hAnsi="Arial" w:cs="Arial"/>
          <w:color w:val="000000"/>
          <w:sz w:val="20"/>
          <w:szCs w:val="20"/>
        </w:rPr>
        <w:t>47,230</w:t>
      </w:r>
      <w:r w:rsidR="00EF6429" w:rsidRPr="00E35C1C">
        <w:rPr>
          <w:rFonts w:ascii="Arial" w:hAnsi="Arial" w:cs="Arial"/>
          <w:color w:val="000000"/>
          <w:sz w:val="20"/>
          <w:szCs w:val="20"/>
        </w:rPr>
        <w:t xml:space="preserve"> fixtures in these categories</w:t>
      </w:r>
      <w:r w:rsidR="00E73A2D" w:rsidRPr="00E35C1C">
        <w:rPr>
          <w:rFonts w:ascii="Arial" w:hAnsi="Arial" w:cs="Arial"/>
          <w:color w:val="000000"/>
          <w:sz w:val="20"/>
          <w:szCs w:val="20"/>
        </w:rPr>
        <w:t>, 80% of the qualified products</w:t>
      </w:r>
      <w:r w:rsidR="00EF6429" w:rsidRPr="00E35C1C">
        <w:rPr>
          <w:rFonts w:ascii="Arial" w:hAnsi="Arial" w:cs="Arial"/>
          <w:color w:val="000000"/>
          <w:sz w:val="20"/>
          <w:szCs w:val="20"/>
        </w:rPr>
        <w:t xml:space="preserve">, </w:t>
      </w:r>
      <w:r w:rsidR="00E73A2D" w:rsidRPr="00E35C1C">
        <w:rPr>
          <w:rFonts w:ascii="Arial" w:hAnsi="Arial" w:cs="Arial"/>
          <w:color w:val="000000"/>
          <w:sz w:val="20"/>
          <w:szCs w:val="20"/>
        </w:rPr>
        <w:t xml:space="preserve">are represented in the measure code offerings. There are no measures codes in the first efficacy tier above </w:t>
      </w:r>
      <w:r w:rsidR="00C021B1" w:rsidRPr="00E35C1C">
        <w:rPr>
          <w:rFonts w:ascii="Arial" w:hAnsi="Arial" w:cs="Arial"/>
          <w:color w:val="000000"/>
          <w:sz w:val="20"/>
          <w:szCs w:val="20"/>
        </w:rPr>
        <w:t>203 W because the base case efficacy above that wattage approaches the measure case efficacy floor thereby generating minimal energy savings. Only DLC Premium products at or above 130 LPW create substantial savings above the base case</w:t>
      </w:r>
      <w:r w:rsidR="00EF6429" w:rsidRPr="00E35C1C">
        <w:rPr>
          <w:rFonts w:ascii="Arial" w:hAnsi="Arial" w:cs="Arial"/>
          <w:color w:val="000000"/>
          <w:sz w:val="20"/>
          <w:szCs w:val="20"/>
        </w:rPr>
        <w:t xml:space="preserve"> </w:t>
      </w:r>
      <w:r w:rsidR="00C021B1" w:rsidRPr="00E35C1C">
        <w:rPr>
          <w:rFonts w:ascii="Arial" w:hAnsi="Arial" w:cs="Arial"/>
          <w:color w:val="000000"/>
          <w:sz w:val="20"/>
          <w:szCs w:val="20"/>
        </w:rPr>
        <w:t>in the higher wattage ranges.</w:t>
      </w:r>
    </w:p>
    <w:p w14:paraId="26E7A6E3" w14:textId="1CFEE94B" w:rsidR="006E3439" w:rsidRPr="00BC69E5" w:rsidRDefault="00BC69E5" w:rsidP="00D154B6">
      <w:pPr>
        <w:pStyle w:val="Heading3"/>
        <w:rPr>
          <w:highlight w:val="yellow"/>
        </w:rPr>
      </w:pPr>
      <w:bookmarkStart w:id="118" w:name="_Toc2804919"/>
      <w:r>
        <w:t>2.</w:t>
      </w:r>
      <w:r w:rsidR="00D14767">
        <w:t>0.2</w:t>
      </w:r>
      <w:r>
        <w:t xml:space="preserve"> </w:t>
      </w:r>
      <w:r w:rsidR="006E3439" w:rsidRPr="00BC69E5">
        <w:t>Assumptions Used in the Calculations</w:t>
      </w:r>
      <w:bookmarkEnd w:id="118"/>
    </w:p>
    <w:p w14:paraId="6A920BBA" w14:textId="0A050E61" w:rsidR="006E3439" w:rsidRPr="000049BB" w:rsidRDefault="006E3439" w:rsidP="006E3439">
      <w:pPr>
        <w:rPr>
          <w:rFonts w:ascii="Arial" w:hAnsi="Arial" w:cs="Arial"/>
          <w:b/>
          <w:sz w:val="20"/>
          <w:szCs w:val="20"/>
        </w:rPr>
      </w:pPr>
      <w:r w:rsidRPr="000049BB">
        <w:rPr>
          <w:rFonts w:ascii="Arial" w:hAnsi="Arial" w:cs="Arial"/>
          <w:b/>
          <w:sz w:val="20"/>
          <w:szCs w:val="20"/>
        </w:rPr>
        <w:t>Base Case Technology Mix</w:t>
      </w:r>
    </w:p>
    <w:p w14:paraId="4D1D3021" w14:textId="3CBFE469" w:rsidR="002B3B1A" w:rsidRDefault="00B00EC3" w:rsidP="006E3439">
      <w:pPr>
        <w:rPr>
          <w:rFonts w:ascii="Arial" w:hAnsi="Arial" w:cs="Arial"/>
          <w:sz w:val="20"/>
          <w:szCs w:val="20"/>
        </w:rPr>
      </w:pPr>
      <w:r>
        <w:rPr>
          <w:rFonts w:ascii="Arial" w:hAnsi="Arial" w:cs="Arial"/>
          <w:sz w:val="20"/>
          <w:szCs w:val="20"/>
        </w:rPr>
        <w:t xml:space="preserve">PG&amp;E </w:t>
      </w:r>
      <w:r w:rsidR="002B3B1A">
        <w:rPr>
          <w:rFonts w:ascii="Arial" w:hAnsi="Arial" w:cs="Arial"/>
          <w:sz w:val="20"/>
          <w:szCs w:val="20"/>
        </w:rPr>
        <w:t>evaluate</w:t>
      </w:r>
      <w:r>
        <w:rPr>
          <w:rFonts w:ascii="Arial" w:hAnsi="Arial" w:cs="Arial"/>
          <w:sz w:val="20"/>
          <w:szCs w:val="20"/>
        </w:rPr>
        <w:t xml:space="preserve">d past program data to </w:t>
      </w:r>
      <w:r w:rsidR="002B3B1A">
        <w:rPr>
          <w:rFonts w:ascii="Arial" w:hAnsi="Arial" w:cs="Arial"/>
          <w:sz w:val="20"/>
          <w:szCs w:val="20"/>
        </w:rPr>
        <w:t xml:space="preserve">estimate </w:t>
      </w:r>
      <w:r>
        <w:rPr>
          <w:rFonts w:ascii="Arial" w:hAnsi="Arial" w:cs="Arial"/>
          <w:sz w:val="20"/>
          <w:szCs w:val="20"/>
        </w:rPr>
        <w:t xml:space="preserve">a starting point for the base case </w:t>
      </w:r>
      <w:r w:rsidR="002B3B1A">
        <w:rPr>
          <w:rFonts w:ascii="Arial" w:hAnsi="Arial" w:cs="Arial"/>
          <w:sz w:val="20"/>
          <w:szCs w:val="20"/>
        </w:rPr>
        <w:t>technology</w:t>
      </w:r>
      <w:r>
        <w:rPr>
          <w:rFonts w:ascii="Arial" w:hAnsi="Arial" w:cs="Arial"/>
          <w:sz w:val="20"/>
          <w:szCs w:val="20"/>
        </w:rPr>
        <w:t xml:space="preserve"> mix.  </w:t>
      </w:r>
      <w:r w:rsidR="002B3B1A">
        <w:rPr>
          <w:rFonts w:ascii="Arial" w:hAnsi="Arial" w:cs="Arial"/>
          <w:sz w:val="20"/>
          <w:szCs w:val="20"/>
        </w:rPr>
        <w:t xml:space="preserve">PG&amp;E previously offered rebates for HPT8/T5 linear fluorescent </w:t>
      </w:r>
      <w:proofErr w:type="spellStart"/>
      <w:r w:rsidR="002B3B1A">
        <w:rPr>
          <w:rFonts w:ascii="Arial" w:hAnsi="Arial" w:cs="Arial"/>
          <w:sz w:val="20"/>
          <w:szCs w:val="20"/>
        </w:rPr>
        <w:t>highbay</w:t>
      </w:r>
      <w:proofErr w:type="spellEnd"/>
      <w:r w:rsidR="002B3B1A">
        <w:rPr>
          <w:rFonts w:ascii="Arial" w:hAnsi="Arial" w:cs="Arial"/>
          <w:sz w:val="20"/>
          <w:szCs w:val="20"/>
        </w:rPr>
        <w:t xml:space="preserve"> fixtures. The figure below shows program activity for these measures.</w:t>
      </w:r>
    </w:p>
    <w:p w14:paraId="7CC6E9B1" w14:textId="77777777" w:rsidR="002B3B1A" w:rsidRDefault="002B3B1A" w:rsidP="006E3439">
      <w:pPr>
        <w:rPr>
          <w:rFonts w:ascii="Arial" w:hAnsi="Arial" w:cs="Arial"/>
          <w:sz w:val="20"/>
          <w:szCs w:val="20"/>
        </w:rPr>
      </w:pPr>
    </w:p>
    <w:p w14:paraId="760037CA" w14:textId="77777777" w:rsidR="002B3B1A" w:rsidRDefault="002B3B1A" w:rsidP="006E3439">
      <w:pPr>
        <w:rPr>
          <w:rFonts w:ascii="Arial" w:hAnsi="Arial" w:cs="Arial"/>
          <w:sz w:val="20"/>
          <w:szCs w:val="20"/>
        </w:rPr>
      </w:pPr>
    </w:p>
    <w:p w14:paraId="63F21D8F" w14:textId="318C6A28" w:rsidR="00E94C25" w:rsidRDefault="00694C35" w:rsidP="00E94C25">
      <w:pPr>
        <w:keepNext/>
      </w:pPr>
      <w:r>
        <w:rPr>
          <w:rFonts w:ascii="Arial" w:hAnsi="Arial" w:cs="Arial"/>
          <w:noProof/>
          <w:sz w:val="20"/>
          <w:szCs w:val="20"/>
        </w:rPr>
        <w:lastRenderedPageBreak/>
        <w:drawing>
          <wp:inline distT="0" distB="0" distL="0" distR="0" wp14:anchorId="79163842" wp14:editId="36A6A172">
            <wp:extent cx="5677535" cy="2966720"/>
            <wp:effectExtent l="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677535" cy="2966720"/>
                    </a:xfrm>
                    <a:prstGeom prst="rect">
                      <a:avLst/>
                    </a:prstGeom>
                    <a:noFill/>
                    <a:ln>
                      <a:noFill/>
                    </a:ln>
                  </pic:spPr>
                </pic:pic>
              </a:graphicData>
            </a:graphic>
          </wp:inline>
        </w:drawing>
      </w:r>
    </w:p>
    <w:p w14:paraId="01693068" w14:textId="196BC101" w:rsidR="002B3B1A" w:rsidRDefault="00E94C25" w:rsidP="00E94C25">
      <w:pPr>
        <w:pStyle w:val="Caption"/>
        <w:rPr>
          <w:rFonts w:ascii="Arial" w:hAnsi="Arial" w:cs="Arial"/>
        </w:rPr>
      </w:pPr>
      <w:bookmarkStart w:id="119" w:name="_Toc2804953"/>
      <w:r>
        <w:t xml:space="preserve">Figure </w:t>
      </w:r>
      <w:r w:rsidR="00873B7F">
        <w:fldChar w:fldCharType="begin"/>
      </w:r>
      <w:r w:rsidR="00873B7F">
        <w:instrText xml:space="preserve"> SEQ Figure \* ARABIC </w:instrText>
      </w:r>
      <w:r w:rsidR="00873B7F">
        <w:fldChar w:fldCharType="separate"/>
      </w:r>
      <w:proofErr w:type="gramStart"/>
      <w:r w:rsidR="008306DA">
        <w:rPr>
          <w:noProof/>
        </w:rPr>
        <w:t>5</w:t>
      </w:r>
      <w:r w:rsidR="00873B7F">
        <w:rPr>
          <w:noProof/>
        </w:rPr>
        <w:fldChar w:fldCharType="end"/>
      </w:r>
      <w:r w:rsidR="007042ED">
        <w:t xml:space="preserve"> </w:t>
      </w:r>
      <w:r>
        <w:t xml:space="preserve">HPT8/T5 Linear Fluorescent </w:t>
      </w:r>
      <w:proofErr w:type="spellStart"/>
      <w:r>
        <w:t>Highbay</w:t>
      </w:r>
      <w:proofErr w:type="spellEnd"/>
      <w:r>
        <w:t xml:space="preserve"> Fixture Program Data,</w:t>
      </w:r>
      <w:proofErr w:type="gramEnd"/>
      <w:r>
        <w:t xml:space="preserve"> 2013-2017</w:t>
      </w:r>
      <w:bookmarkEnd w:id="119"/>
    </w:p>
    <w:p w14:paraId="4AE7DCE8" w14:textId="77777777" w:rsidR="002B3B1A" w:rsidRDefault="002B3B1A" w:rsidP="006E3439">
      <w:pPr>
        <w:rPr>
          <w:rFonts w:ascii="Arial" w:hAnsi="Arial" w:cs="Arial"/>
          <w:sz w:val="20"/>
          <w:szCs w:val="20"/>
        </w:rPr>
      </w:pPr>
    </w:p>
    <w:p w14:paraId="766A565E" w14:textId="45E7D863" w:rsidR="002B3B1A" w:rsidRDefault="002B3B1A" w:rsidP="006E3439">
      <w:pPr>
        <w:rPr>
          <w:rFonts w:ascii="Arial" w:hAnsi="Arial" w:cs="Arial"/>
          <w:sz w:val="20"/>
          <w:szCs w:val="20"/>
        </w:rPr>
      </w:pPr>
      <w:r>
        <w:rPr>
          <w:rFonts w:ascii="Arial" w:hAnsi="Arial" w:cs="Arial"/>
          <w:sz w:val="20"/>
          <w:szCs w:val="20"/>
        </w:rPr>
        <w:t>This data makes clear that the majority of purchases in this measure offering occur in the lower wattage ranges from 0-118 watts. This implies that when customers are selecting fixtures to purchase</w:t>
      </w:r>
      <w:r w:rsidR="00E2744C">
        <w:rPr>
          <w:rFonts w:ascii="Arial" w:hAnsi="Arial" w:cs="Arial"/>
          <w:sz w:val="20"/>
          <w:szCs w:val="20"/>
        </w:rPr>
        <w:t xml:space="preserve"> in an ROB scenario</w:t>
      </w:r>
      <w:r>
        <w:rPr>
          <w:rFonts w:ascii="Arial" w:hAnsi="Arial" w:cs="Arial"/>
          <w:sz w:val="20"/>
          <w:szCs w:val="20"/>
        </w:rPr>
        <w:t xml:space="preserve">, it is more likely to be fluorescent in the lower wattage bins than higher wattage bins. This is the basis for the base case mix chosen in this revision of the workpaper – starting with higher percentage fluorescent fixtures in the lower wattage ranges and dropping that percentage of fluorescent fixtures as the wattage </w:t>
      </w:r>
      <w:r w:rsidR="00E2744C">
        <w:rPr>
          <w:rFonts w:ascii="Arial" w:hAnsi="Arial" w:cs="Arial"/>
          <w:sz w:val="20"/>
          <w:szCs w:val="20"/>
        </w:rPr>
        <w:t>increases.</w:t>
      </w:r>
    </w:p>
    <w:p w14:paraId="21C70E1C" w14:textId="77777777" w:rsidR="00177B9F" w:rsidRDefault="00177B9F" w:rsidP="006E3439">
      <w:pPr>
        <w:rPr>
          <w:rFonts w:ascii="Arial" w:hAnsi="Arial" w:cs="Arial"/>
          <w:sz w:val="20"/>
          <w:szCs w:val="20"/>
        </w:rPr>
      </w:pPr>
    </w:p>
    <w:p w14:paraId="1C843E03" w14:textId="455B8102" w:rsidR="00B00EC3" w:rsidRDefault="00177B9F" w:rsidP="006E3439">
      <w:pPr>
        <w:rPr>
          <w:rFonts w:ascii="Arial" w:hAnsi="Arial" w:cs="Arial"/>
          <w:sz w:val="20"/>
          <w:szCs w:val="20"/>
        </w:rPr>
      </w:pPr>
      <w:r>
        <w:rPr>
          <w:rFonts w:ascii="Arial" w:hAnsi="Arial" w:cs="Arial"/>
          <w:sz w:val="20"/>
          <w:szCs w:val="20"/>
        </w:rPr>
        <w:t xml:space="preserve">Although the measure codes are not separated for </w:t>
      </w:r>
      <w:proofErr w:type="spellStart"/>
      <w:r>
        <w:rPr>
          <w:rFonts w:ascii="Arial" w:hAnsi="Arial" w:cs="Arial"/>
          <w:sz w:val="20"/>
          <w:szCs w:val="20"/>
        </w:rPr>
        <w:t>lowbay</w:t>
      </w:r>
      <w:proofErr w:type="spellEnd"/>
      <w:r>
        <w:rPr>
          <w:rFonts w:ascii="Arial" w:hAnsi="Arial" w:cs="Arial"/>
          <w:sz w:val="20"/>
          <w:szCs w:val="20"/>
        </w:rPr>
        <w:t xml:space="preserve"> and </w:t>
      </w:r>
      <w:proofErr w:type="spellStart"/>
      <w:r>
        <w:rPr>
          <w:rFonts w:ascii="Arial" w:hAnsi="Arial" w:cs="Arial"/>
          <w:sz w:val="20"/>
          <w:szCs w:val="20"/>
        </w:rPr>
        <w:t>highbay</w:t>
      </w:r>
      <w:proofErr w:type="spellEnd"/>
      <w:r w:rsidR="00467531">
        <w:rPr>
          <w:rFonts w:ascii="Arial" w:hAnsi="Arial" w:cs="Arial"/>
          <w:sz w:val="20"/>
          <w:szCs w:val="20"/>
        </w:rPr>
        <w:t xml:space="preserve"> applications specifically</w:t>
      </w:r>
      <w:r>
        <w:rPr>
          <w:rFonts w:ascii="Arial" w:hAnsi="Arial" w:cs="Arial"/>
          <w:sz w:val="20"/>
          <w:szCs w:val="20"/>
        </w:rPr>
        <w:t xml:space="preserve">, </w:t>
      </w:r>
      <w:r w:rsidR="00467531">
        <w:rPr>
          <w:rFonts w:ascii="Arial" w:hAnsi="Arial" w:cs="Arial"/>
          <w:sz w:val="20"/>
          <w:szCs w:val="20"/>
        </w:rPr>
        <w:t xml:space="preserve">the measures are separated by lumens/watts and </w:t>
      </w:r>
      <w:proofErr w:type="spellStart"/>
      <w:r w:rsidR="00467531">
        <w:rPr>
          <w:rFonts w:ascii="Arial" w:hAnsi="Arial" w:cs="Arial"/>
          <w:sz w:val="20"/>
          <w:szCs w:val="20"/>
        </w:rPr>
        <w:t>lowbay</w:t>
      </w:r>
      <w:proofErr w:type="spellEnd"/>
      <w:r w:rsidR="00467531">
        <w:rPr>
          <w:rFonts w:ascii="Arial" w:hAnsi="Arial" w:cs="Arial"/>
          <w:sz w:val="20"/>
          <w:szCs w:val="20"/>
        </w:rPr>
        <w:t xml:space="preserve"> applications tend to occur in the 0-10,000 lumen range (the equivalent of 2</w:t>
      </w:r>
      <w:proofErr w:type="gramStart"/>
      <w:r w:rsidR="00467531">
        <w:rPr>
          <w:rFonts w:ascii="Arial" w:hAnsi="Arial" w:cs="Arial"/>
          <w:sz w:val="20"/>
          <w:szCs w:val="20"/>
        </w:rPr>
        <w:t>,3</w:t>
      </w:r>
      <w:proofErr w:type="gramEnd"/>
      <w:r w:rsidR="00467531">
        <w:rPr>
          <w:rFonts w:ascii="Arial" w:hAnsi="Arial" w:cs="Arial"/>
          <w:sz w:val="20"/>
          <w:szCs w:val="20"/>
        </w:rPr>
        <w:t xml:space="preserve">, and some 4 lamp linear fluorescent fixture replacements) whereas </w:t>
      </w:r>
      <w:proofErr w:type="spellStart"/>
      <w:r w:rsidR="00467531">
        <w:rPr>
          <w:rFonts w:ascii="Arial" w:hAnsi="Arial" w:cs="Arial"/>
          <w:sz w:val="20"/>
          <w:szCs w:val="20"/>
        </w:rPr>
        <w:t>highbay</w:t>
      </w:r>
      <w:proofErr w:type="spellEnd"/>
      <w:r w:rsidR="00467531">
        <w:rPr>
          <w:rFonts w:ascii="Arial" w:hAnsi="Arial" w:cs="Arial"/>
          <w:sz w:val="20"/>
          <w:szCs w:val="20"/>
        </w:rPr>
        <w:t xml:space="preserve"> applications fall into the higher lumen ranges.</w:t>
      </w:r>
      <w:r w:rsidR="00914FD8">
        <w:rPr>
          <w:rFonts w:ascii="Arial" w:hAnsi="Arial" w:cs="Arial"/>
          <w:sz w:val="20"/>
          <w:szCs w:val="20"/>
        </w:rPr>
        <w:t xml:space="preserve">  The standard practice baseline for these </w:t>
      </w:r>
      <w:r w:rsidR="00467531">
        <w:rPr>
          <w:rFonts w:ascii="Arial" w:hAnsi="Arial" w:cs="Arial"/>
          <w:sz w:val="20"/>
          <w:szCs w:val="20"/>
        </w:rPr>
        <w:t xml:space="preserve">lower wattage range </w:t>
      </w:r>
      <w:r w:rsidR="00914FD8">
        <w:rPr>
          <w:rFonts w:ascii="Arial" w:hAnsi="Arial" w:cs="Arial"/>
          <w:sz w:val="20"/>
          <w:szCs w:val="20"/>
        </w:rPr>
        <w:t xml:space="preserve">measures are 20% linear fluorescent and 80% LED.  </w:t>
      </w:r>
      <w:r w:rsidR="00467531">
        <w:rPr>
          <w:rFonts w:ascii="Arial" w:hAnsi="Arial" w:cs="Arial"/>
          <w:sz w:val="20"/>
          <w:szCs w:val="20"/>
        </w:rPr>
        <w:t>For</w:t>
      </w:r>
      <w:r w:rsidR="00914FD8">
        <w:rPr>
          <w:rFonts w:ascii="Arial" w:hAnsi="Arial" w:cs="Arial"/>
          <w:sz w:val="20"/>
          <w:szCs w:val="20"/>
        </w:rPr>
        <w:t xml:space="preserve"> the 6, 8, and 10-lamp linear fluorescent equivalent</w:t>
      </w:r>
      <w:r w:rsidR="00467531">
        <w:rPr>
          <w:rFonts w:ascii="Arial" w:hAnsi="Arial" w:cs="Arial"/>
          <w:sz w:val="20"/>
          <w:szCs w:val="20"/>
        </w:rPr>
        <w:t xml:space="preserve"> measures</w:t>
      </w:r>
      <w:r w:rsidR="00914FD8">
        <w:rPr>
          <w:rFonts w:ascii="Arial" w:hAnsi="Arial" w:cs="Arial"/>
          <w:sz w:val="20"/>
          <w:szCs w:val="20"/>
        </w:rPr>
        <w:t>, mostly high bay applications, the standard practice baseline technology mix shows 90% for LED and 10% for linear fluorescent.  Measures above the 10-lamp linear fluorescent fixture assume 100% LED standard practice baseline</w:t>
      </w:r>
      <w:r w:rsidR="00467531">
        <w:rPr>
          <w:rFonts w:ascii="Arial" w:hAnsi="Arial" w:cs="Arial"/>
          <w:sz w:val="20"/>
          <w:szCs w:val="20"/>
        </w:rPr>
        <w:t xml:space="preserve"> as linear fluorescent fixtures are not common at all at this high lumen output. Historically, metal halide fixtures were used in these applications</w:t>
      </w:r>
      <w:r w:rsidR="00914FD8">
        <w:rPr>
          <w:rFonts w:ascii="Arial" w:hAnsi="Arial" w:cs="Arial"/>
          <w:sz w:val="20"/>
          <w:szCs w:val="20"/>
        </w:rPr>
        <w:t>.</w:t>
      </w:r>
    </w:p>
    <w:p w14:paraId="71424B2C" w14:textId="77777777" w:rsidR="00177B9F" w:rsidRDefault="00177B9F" w:rsidP="006E3439">
      <w:pPr>
        <w:rPr>
          <w:rFonts w:ascii="Arial" w:hAnsi="Arial" w:cs="Arial"/>
          <w:sz w:val="20"/>
          <w:szCs w:val="20"/>
        </w:rPr>
      </w:pPr>
    </w:p>
    <w:p w14:paraId="287559CA" w14:textId="20AD54AF" w:rsidR="007803A1" w:rsidRPr="00B84C78" w:rsidRDefault="00177B9F">
      <w:pPr>
        <w:rPr>
          <w:b/>
          <w:bCs/>
          <w:sz w:val="22"/>
          <w:szCs w:val="22"/>
        </w:rPr>
      </w:pPr>
      <w:r>
        <w:rPr>
          <w:rFonts w:ascii="Arial" w:hAnsi="Arial" w:cs="Arial"/>
          <w:sz w:val="20"/>
          <w:szCs w:val="20"/>
        </w:rPr>
        <w:t xml:space="preserve">During discussions with the Commission Staff, it was made apparent that LED linear lamps (also known as TLEDs) should be acknowledged as a major part of the standard practice baseline. </w:t>
      </w:r>
      <w:r w:rsidR="003B7594">
        <w:rPr>
          <w:rFonts w:ascii="Arial" w:hAnsi="Arial" w:cs="Arial"/>
          <w:sz w:val="20"/>
          <w:szCs w:val="20"/>
        </w:rPr>
        <w:t>TLEDs are now included and t</w:t>
      </w:r>
      <w:r>
        <w:rPr>
          <w:rFonts w:ascii="Arial" w:hAnsi="Arial" w:cs="Arial"/>
          <w:sz w:val="20"/>
          <w:szCs w:val="20"/>
        </w:rPr>
        <w:t>h</w:t>
      </w:r>
      <w:r w:rsidR="0081104B">
        <w:rPr>
          <w:rFonts w:ascii="Arial" w:hAnsi="Arial" w:cs="Arial"/>
          <w:sz w:val="20"/>
          <w:szCs w:val="20"/>
        </w:rPr>
        <w:t xml:space="preserve">e base case technology </w:t>
      </w:r>
      <w:r>
        <w:rPr>
          <w:rFonts w:ascii="Arial" w:hAnsi="Arial" w:cs="Arial"/>
          <w:sz w:val="20"/>
          <w:szCs w:val="20"/>
        </w:rPr>
        <w:t xml:space="preserve">mix </w:t>
      </w:r>
      <w:r w:rsidR="0081104B">
        <w:rPr>
          <w:rFonts w:ascii="Arial" w:hAnsi="Arial" w:cs="Arial"/>
          <w:sz w:val="20"/>
          <w:szCs w:val="20"/>
        </w:rPr>
        <w:t xml:space="preserve">is </w:t>
      </w:r>
      <w:r w:rsidR="00B00EC3" w:rsidRPr="00B00EC3">
        <w:rPr>
          <w:rFonts w:ascii="Arial" w:hAnsi="Arial" w:cs="Arial"/>
          <w:sz w:val="20"/>
          <w:szCs w:val="20"/>
        </w:rPr>
        <w:t xml:space="preserve">shown in </w:t>
      </w:r>
      <w:r w:rsidR="00E16D94">
        <w:rPr>
          <w:rFonts w:ascii="Arial" w:hAnsi="Arial" w:cs="Arial"/>
          <w:sz w:val="20"/>
          <w:szCs w:val="20"/>
        </w:rPr>
        <w:t>section 1.6.1:</w:t>
      </w:r>
      <w:r w:rsidR="00B00EC3" w:rsidRPr="00B84C78">
        <w:rPr>
          <w:sz w:val="22"/>
          <w:szCs w:val="22"/>
        </w:rPr>
        <w:fldChar w:fldCharType="begin"/>
      </w:r>
      <w:r w:rsidR="00B00EC3" w:rsidRPr="00B84C78">
        <w:rPr>
          <w:sz w:val="22"/>
          <w:szCs w:val="22"/>
        </w:rPr>
        <w:instrText xml:space="preserve"> REF _Ref510982488 \h  \* MERGEFORMAT </w:instrText>
      </w:r>
      <w:r w:rsidR="00B00EC3" w:rsidRPr="00B84C78">
        <w:rPr>
          <w:sz w:val="22"/>
          <w:szCs w:val="22"/>
        </w:rPr>
      </w:r>
      <w:r w:rsidR="00B00EC3" w:rsidRPr="00B84C78">
        <w:rPr>
          <w:sz w:val="22"/>
          <w:szCs w:val="22"/>
        </w:rPr>
        <w:fldChar w:fldCharType="separate"/>
      </w:r>
    </w:p>
    <w:p w14:paraId="603044CF" w14:textId="1A607F04" w:rsidR="00AA0317" w:rsidRPr="00B84C78" w:rsidRDefault="007803A1" w:rsidP="00177B9F">
      <w:pPr>
        <w:rPr>
          <w:sz w:val="22"/>
          <w:szCs w:val="22"/>
        </w:rPr>
      </w:pPr>
      <w:proofErr w:type="gramStart"/>
      <w:r w:rsidRPr="00B84C78">
        <w:rPr>
          <w:sz w:val="22"/>
          <w:szCs w:val="22"/>
        </w:rPr>
        <w:t xml:space="preserve">Table </w:t>
      </w:r>
      <w:r w:rsidRPr="00B84C78">
        <w:rPr>
          <w:noProof/>
          <w:sz w:val="22"/>
          <w:szCs w:val="22"/>
        </w:rPr>
        <w:t>9</w:t>
      </w:r>
      <w:r w:rsidRPr="00B84C78">
        <w:rPr>
          <w:sz w:val="22"/>
          <w:szCs w:val="22"/>
        </w:rPr>
        <w:t xml:space="preserve"> Base Case Technology Percentage Mix</w:t>
      </w:r>
      <w:r w:rsidR="00B00EC3" w:rsidRPr="00B84C78">
        <w:rPr>
          <w:sz w:val="22"/>
          <w:szCs w:val="22"/>
        </w:rPr>
        <w:fldChar w:fldCharType="end"/>
      </w:r>
      <w:r w:rsidR="00B00EC3" w:rsidRPr="00B84C78">
        <w:rPr>
          <w:sz w:val="22"/>
          <w:szCs w:val="22"/>
        </w:rPr>
        <w:t>.</w:t>
      </w:r>
      <w:proofErr w:type="gramEnd"/>
      <w:r w:rsidR="00B00EC3" w:rsidRPr="00B84C78">
        <w:rPr>
          <w:sz w:val="22"/>
          <w:szCs w:val="22"/>
        </w:rPr>
        <w:t xml:space="preserve">  </w:t>
      </w:r>
    </w:p>
    <w:p w14:paraId="7CADC351" w14:textId="2324C4BD" w:rsidR="00AA0317" w:rsidRDefault="00AA0317" w:rsidP="00177B9F">
      <w:pPr>
        <w:rPr>
          <w:rFonts w:ascii="Arial" w:hAnsi="Arial" w:cs="Arial"/>
          <w:sz w:val="20"/>
          <w:szCs w:val="20"/>
        </w:rPr>
      </w:pPr>
    </w:p>
    <w:p w14:paraId="6E3B68B1" w14:textId="77777777" w:rsidR="004C543B" w:rsidRDefault="004C543B" w:rsidP="00E96638">
      <w:pPr>
        <w:rPr>
          <w:rFonts w:ascii="Arial" w:hAnsi="Arial" w:cs="Arial"/>
          <w:b/>
          <w:sz w:val="20"/>
          <w:szCs w:val="20"/>
        </w:rPr>
      </w:pPr>
    </w:p>
    <w:p w14:paraId="53CD3526" w14:textId="77777777" w:rsidR="00E96638" w:rsidRDefault="00E96638" w:rsidP="00E96638">
      <w:pPr>
        <w:rPr>
          <w:rFonts w:ascii="Arial" w:hAnsi="Arial" w:cs="Arial"/>
          <w:sz w:val="20"/>
          <w:szCs w:val="20"/>
        </w:rPr>
      </w:pPr>
      <w:r w:rsidRPr="00AA0317">
        <w:rPr>
          <w:rFonts w:ascii="Arial" w:hAnsi="Arial" w:cs="Arial"/>
          <w:b/>
          <w:sz w:val="20"/>
          <w:szCs w:val="20"/>
        </w:rPr>
        <w:t>LED Base Case Efficacy:</w:t>
      </w:r>
      <w:r>
        <w:rPr>
          <w:rFonts w:ascii="Arial" w:hAnsi="Arial" w:cs="Arial"/>
          <w:sz w:val="20"/>
          <w:szCs w:val="20"/>
        </w:rPr>
        <w:t xml:space="preserve"> </w:t>
      </w:r>
    </w:p>
    <w:p w14:paraId="027CDC16" w14:textId="77777777" w:rsidR="00E96638" w:rsidRDefault="00E96638" w:rsidP="00E96638">
      <w:pPr>
        <w:rPr>
          <w:rFonts w:ascii="Arial" w:hAnsi="Arial" w:cs="Arial"/>
          <w:sz w:val="20"/>
          <w:szCs w:val="20"/>
        </w:rPr>
      </w:pPr>
      <w:r>
        <w:rPr>
          <w:rFonts w:ascii="Arial" w:hAnsi="Arial" w:cs="Arial"/>
          <w:sz w:val="20"/>
          <w:szCs w:val="20"/>
        </w:rPr>
        <w:t>The base case efficacy used was 25</w:t>
      </w:r>
      <w:r w:rsidRPr="00AA0317">
        <w:rPr>
          <w:rFonts w:ascii="Arial" w:hAnsi="Arial" w:cs="Arial"/>
          <w:sz w:val="20"/>
          <w:szCs w:val="20"/>
          <w:vertAlign w:val="superscript"/>
        </w:rPr>
        <w:t>th</w:t>
      </w:r>
      <w:r>
        <w:rPr>
          <w:rFonts w:ascii="Arial" w:hAnsi="Arial" w:cs="Arial"/>
          <w:sz w:val="20"/>
          <w:szCs w:val="20"/>
        </w:rPr>
        <w:t xml:space="preserve"> percentile from Lighting Facts for industrial luminaires. This is a similar approach taken in the workpaper PGECOLTG151 Outdoor Area and Street Lighting.  This assumption is based on what customers would buy in the absence of utility programs.</w:t>
      </w:r>
    </w:p>
    <w:p w14:paraId="00F50BAA" w14:textId="77777777" w:rsidR="00E96638" w:rsidRDefault="00E96638" w:rsidP="00177B9F">
      <w:pPr>
        <w:rPr>
          <w:rFonts w:ascii="Arial" w:hAnsi="Arial" w:cs="Arial"/>
          <w:b/>
          <w:sz w:val="20"/>
          <w:szCs w:val="20"/>
        </w:rPr>
      </w:pPr>
    </w:p>
    <w:p w14:paraId="13630D1F" w14:textId="77777777" w:rsidR="00E96638" w:rsidRDefault="00E96638" w:rsidP="00E94C25">
      <w:pPr>
        <w:pStyle w:val="Caption"/>
        <w:keepNext/>
        <w:jc w:val="center"/>
      </w:pPr>
      <w:bookmarkStart w:id="120" w:name="_Toc511244276"/>
      <w:bookmarkStart w:id="121" w:name="_Toc511244301"/>
    </w:p>
    <w:p w14:paraId="3A265858" w14:textId="77777777" w:rsidR="004C543B" w:rsidRDefault="004C543B" w:rsidP="004C543B"/>
    <w:p w14:paraId="6C17F5BE" w14:textId="77777777" w:rsidR="004C543B" w:rsidRPr="004C543B" w:rsidRDefault="004C543B" w:rsidP="004C543B"/>
    <w:p w14:paraId="72D5F412" w14:textId="0B13D871" w:rsidR="00E94C25" w:rsidRDefault="00E94C25" w:rsidP="00E94C25">
      <w:pPr>
        <w:pStyle w:val="Caption"/>
        <w:keepNext/>
        <w:jc w:val="center"/>
      </w:pPr>
      <w:bookmarkStart w:id="122" w:name="_Toc2804942"/>
      <w:r>
        <w:lastRenderedPageBreak/>
        <w:t xml:space="preserve">Table </w:t>
      </w:r>
      <w:fldSimple w:instr=" SEQ Table \* ARABIC ">
        <w:r w:rsidR="004C5579">
          <w:rPr>
            <w:noProof/>
          </w:rPr>
          <w:t>11</w:t>
        </w:r>
      </w:fldSimple>
      <w:r w:rsidR="007042ED">
        <w:t xml:space="preserve"> </w:t>
      </w:r>
      <w:r>
        <w:t>Industrial Products Efficacy Percentiles from Lighting Facts</w:t>
      </w:r>
      <w:bookmarkEnd w:id="120"/>
      <w:bookmarkEnd w:id="121"/>
      <w:bookmarkEnd w:id="122"/>
    </w:p>
    <w:tbl>
      <w:tblPr>
        <w:tblW w:w="3000" w:type="pct"/>
        <w:jc w:val="center"/>
        <w:tblLook w:val="04A0" w:firstRow="1" w:lastRow="0" w:firstColumn="1" w:lastColumn="0" w:noHBand="0" w:noVBand="1"/>
      </w:tblPr>
      <w:tblGrid>
        <w:gridCol w:w="1915"/>
        <w:gridCol w:w="1916"/>
        <w:gridCol w:w="1915"/>
      </w:tblGrid>
      <w:tr w:rsidR="00D14767" w:rsidRPr="00E94C25" w14:paraId="104A4A5E" w14:textId="77777777" w:rsidTr="00D154B6">
        <w:trPr>
          <w:trHeight w:val="20"/>
          <w:jc w:val="center"/>
        </w:trPr>
        <w:tc>
          <w:tcPr>
            <w:tcW w:w="16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9F3B8A" w14:textId="77777777" w:rsidR="00D14767" w:rsidRDefault="00D14767" w:rsidP="00E94C25">
            <w:pPr>
              <w:jc w:val="center"/>
              <w:rPr>
                <w:rFonts w:ascii="Calibri" w:hAnsi="Calibri"/>
                <w:b/>
                <w:bCs/>
                <w:sz w:val="22"/>
                <w:szCs w:val="22"/>
              </w:rPr>
            </w:pPr>
            <w:r>
              <w:rPr>
                <w:rFonts w:ascii="Calibri" w:hAnsi="Calibri"/>
                <w:b/>
                <w:bCs/>
                <w:sz w:val="22"/>
                <w:szCs w:val="22"/>
              </w:rPr>
              <w:t>Base Case</w:t>
            </w:r>
          </w:p>
          <w:p w14:paraId="42AF8FA5" w14:textId="768B56B2" w:rsidR="00D14767" w:rsidRPr="00E94C25" w:rsidRDefault="00D14767" w:rsidP="00E94C25">
            <w:pPr>
              <w:jc w:val="center"/>
              <w:rPr>
                <w:rFonts w:ascii="Calibri" w:hAnsi="Calibri"/>
                <w:b/>
                <w:bCs/>
                <w:sz w:val="22"/>
                <w:szCs w:val="22"/>
              </w:rPr>
            </w:pPr>
            <w:r w:rsidRPr="00E94C25">
              <w:rPr>
                <w:rFonts w:ascii="Calibri" w:hAnsi="Calibri"/>
                <w:b/>
                <w:bCs/>
                <w:sz w:val="22"/>
                <w:szCs w:val="22"/>
              </w:rPr>
              <w:t>25 %</w:t>
            </w:r>
            <w:proofErr w:type="spellStart"/>
            <w:r w:rsidRPr="00E94C25">
              <w:rPr>
                <w:rFonts w:ascii="Calibri" w:hAnsi="Calibri"/>
                <w:b/>
                <w:bCs/>
                <w:sz w:val="22"/>
                <w:szCs w:val="22"/>
              </w:rPr>
              <w:t>ile</w:t>
            </w:r>
            <w:proofErr w:type="spellEnd"/>
            <w:r w:rsidRPr="00E94C25">
              <w:rPr>
                <w:rFonts w:ascii="Calibri" w:hAnsi="Calibri"/>
                <w:b/>
                <w:bCs/>
                <w:sz w:val="22"/>
                <w:szCs w:val="22"/>
              </w:rPr>
              <w:t xml:space="preserve"> </w:t>
            </w:r>
            <w:r>
              <w:rPr>
                <w:rFonts w:ascii="Calibri" w:hAnsi="Calibri"/>
                <w:b/>
                <w:bCs/>
                <w:sz w:val="22"/>
                <w:szCs w:val="22"/>
              </w:rPr>
              <w:t>efficacy</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46678FEF" w14:textId="77777777" w:rsidR="00D14767" w:rsidRDefault="00D14767" w:rsidP="00E94C25">
            <w:pPr>
              <w:jc w:val="center"/>
              <w:rPr>
                <w:rFonts w:ascii="Calibri" w:hAnsi="Calibri"/>
                <w:b/>
                <w:bCs/>
                <w:sz w:val="22"/>
                <w:szCs w:val="22"/>
              </w:rPr>
            </w:pPr>
            <w:r>
              <w:rPr>
                <w:rFonts w:ascii="Calibri" w:hAnsi="Calibri"/>
                <w:b/>
                <w:bCs/>
                <w:sz w:val="22"/>
                <w:szCs w:val="22"/>
              </w:rPr>
              <w:t xml:space="preserve">Tier 1 Floor </w:t>
            </w:r>
          </w:p>
          <w:p w14:paraId="64268FFF" w14:textId="343DABD9" w:rsidR="00D14767" w:rsidRPr="00E94C25" w:rsidRDefault="00D14767" w:rsidP="00E94C25">
            <w:pPr>
              <w:jc w:val="center"/>
              <w:rPr>
                <w:rFonts w:ascii="Calibri" w:hAnsi="Calibri"/>
                <w:b/>
                <w:bCs/>
                <w:sz w:val="22"/>
                <w:szCs w:val="22"/>
              </w:rPr>
            </w:pPr>
            <w:r>
              <w:rPr>
                <w:rFonts w:ascii="Calibri" w:hAnsi="Calibri"/>
                <w:b/>
                <w:bCs/>
                <w:sz w:val="22"/>
                <w:szCs w:val="22"/>
              </w:rPr>
              <w:t xml:space="preserve">(approx. </w:t>
            </w:r>
            <w:r w:rsidRPr="00E94C25">
              <w:rPr>
                <w:rFonts w:ascii="Calibri" w:hAnsi="Calibri"/>
                <w:b/>
                <w:bCs/>
                <w:sz w:val="22"/>
                <w:szCs w:val="22"/>
              </w:rPr>
              <w:t>50 %</w:t>
            </w:r>
            <w:proofErr w:type="spellStart"/>
            <w:r w:rsidRPr="00E94C25">
              <w:rPr>
                <w:rFonts w:ascii="Calibri" w:hAnsi="Calibri"/>
                <w:b/>
                <w:bCs/>
                <w:sz w:val="22"/>
                <w:szCs w:val="22"/>
              </w:rPr>
              <w:t>ile</w:t>
            </w:r>
            <w:proofErr w:type="spellEnd"/>
            <w:r w:rsidRPr="00E94C25">
              <w:rPr>
                <w:rFonts w:ascii="Calibri" w:hAnsi="Calibri"/>
                <w:b/>
                <w:bCs/>
                <w:sz w:val="22"/>
                <w:szCs w:val="22"/>
              </w:rPr>
              <w:t xml:space="preserve"> efficacy</w:t>
            </w:r>
            <w:r>
              <w:rPr>
                <w:rFonts w:ascii="Calibri" w:hAnsi="Calibri"/>
                <w:b/>
                <w:bCs/>
                <w:sz w:val="22"/>
                <w:szCs w:val="22"/>
              </w:rPr>
              <w:t>)</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57FB8C5F" w14:textId="35608A85" w:rsidR="00D14767" w:rsidRDefault="00D14767" w:rsidP="00E94C25">
            <w:pPr>
              <w:jc w:val="center"/>
              <w:rPr>
                <w:rFonts w:ascii="Calibri" w:hAnsi="Calibri"/>
                <w:b/>
                <w:bCs/>
                <w:sz w:val="22"/>
                <w:szCs w:val="22"/>
              </w:rPr>
            </w:pPr>
            <w:r>
              <w:rPr>
                <w:rFonts w:ascii="Calibri" w:hAnsi="Calibri"/>
                <w:b/>
                <w:bCs/>
                <w:sz w:val="22"/>
                <w:szCs w:val="22"/>
              </w:rPr>
              <w:t>Tier 2 Minimum</w:t>
            </w:r>
          </w:p>
          <w:p w14:paraId="5CA2E875" w14:textId="0A4E29F5" w:rsidR="00D14767" w:rsidRPr="00E94C25" w:rsidRDefault="00D14767" w:rsidP="00E94C25">
            <w:pPr>
              <w:jc w:val="center"/>
              <w:rPr>
                <w:rFonts w:ascii="Calibri" w:hAnsi="Calibri"/>
                <w:b/>
                <w:bCs/>
                <w:sz w:val="22"/>
                <w:szCs w:val="22"/>
              </w:rPr>
            </w:pPr>
            <w:r>
              <w:rPr>
                <w:rFonts w:ascii="Calibri" w:hAnsi="Calibri"/>
                <w:b/>
                <w:bCs/>
                <w:sz w:val="22"/>
                <w:szCs w:val="22"/>
              </w:rPr>
              <w:t xml:space="preserve">(approx. </w:t>
            </w:r>
            <w:r w:rsidRPr="00E94C25">
              <w:rPr>
                <w:rFonts w:ascii="Calibri" w:hAnsi="Calibri"/>
                <w:b/>
                <w:bCs/>
                <w:sz w:val="22"/>
                <w:szCs w:val="22"/>
              </w:rPr>
              <w:t>75 %</w:t>
            </w:r>
            <w:proofErr w:type="spellStart"/>
            <w:r w:rsidRPr="00E94C25">
              <w:rPr>
                <w:rFonts w:ascii="Calibri" w:hAnsi="Calibri"/>
                <w:b/>
                <w:bCs/>
                <w:sz w:val="22"/>
                <w:szCs w:val="22"/>
              </w:rPr>
              <w:t>ile</w:t>
            </w:r>
            <w:proofErr w:type="spellEnd"/>
            <w:r w:rsidRPr="00E94C25">
              <w:rPr>
                <w:rFonts w:ascii="Calibri" w:hAnsi="Calibri"/>
                <w:b/>
                <w:bCs/>
                <w:sz w:val="22"/>
                <w:szCs w:val="22"/>
              </w:rPr>
              <w:t xml:space="preserve"> efficacy</w:t>
            </w:r>
            <w:r>
              <w:rPr>
                <w:rFonts w:ascii="Calibri" w:hAnsi="Calibri"/>
                <w:b/>
                <w:bCs/>
                <w:sz w:val="22"/>
                <w:szCs w:val="22"/>
              </w:rPr>
              <w:t>)</w:t>
            </w:r>
          </w:p>
        </w:tc>
      </w:tr>
      <w:tr w:rsidR="00D14767" w:rsidRPr="00E94C25" w14:paraId="13CB4735" w14:textId="77777777" w:rsidTr="00D154B6">
        <w:trPr>
          <w:trHeight w:val="20"/>
          <w:jc w:val="center"/>
        </w:trPr>
        <w:tc>
          <w:tcPr>
            <w:tcW w:w="1667" w:type="pct"/>
            <w:tcBorders>
              <w:top w:val="nil"/>
              <w:left w:val="single" w:sz="4" w:space="0" w:color="auto"/>
              <w:bottom w:val="single" w:sz="4" w:space="0" w:color="auto"/>
              <w:right w:val="single" w:sz="4" w:space="0" w:color="auto"/>
            </w:tcBorders>
            <w:shd w:val="clear" w:color="auto" w:fill="auto"/>
            <w:noWrap/>
            <w:vAlign w:val="center"/>
            <w:hideMark/>
          </w:tcPr>
          <w:p w14:paraId="684EF896" w14:textId="53F22F3B" w:rsidR="00D14767" w:rsidRPr="00E94C25" w:rsidRDefault="00D14767" w:rsidP="00D14767">
            <w:pPr>
              <w:jc w:val="center"/>
              <w:rPr>
                <w:rFonts w:ascii="Calibri" w:hAnsi="Calibri"/>
                <w:sz w:val="22"/>
                <w:szCs w:val="22"/>
              </w:rPr>
            </w:pPr>
            <w:r>
              <w:rPr>
                <w:rFonts w:ascii="Calibri" w:hAnsi="Calibri"/>
                <w:color w:val="000000"/>
                <w:sz w:val="22"/>
                <w:szCs w:val="22"/>
              </w:rPr>
              <w:t>96.0</w:t>
            </w:r>
          </w:p>
        </w:tc>
        <w:tc>
          <w:tcPr>
            <w:tcW w:w="1667" w:type="pct"/>
            <w:tcBorders>
              <w:top w:val="nil"/>
              <w:left w:val="nil"/>
              <w:bottom w:val="single" w:sz="4" w:space="0" w:color="auto"/>
              <w:right w:val="single" w:sz="4" w:space="0" w:color="auto"/>
            </w:tcBorders>
            <w:shd w:val="clear" w:color="auto" w:fill="auto"/>
            <w:noWrap/>
            <w:vAlign w:val="center"/>
            <w:hideMark/>
          </w:tcPr>
          <w:p w14:paraId="38A392C5" w14:textId="07F45C5D" w:rsidR="00D14767" w:rsidRPr="00E94C25" w:rsidRDefault="00D14767" w:rsidP="00D14767">
            <w:pPr>
              <w:jc w:val="center"/>
              <w:rPr>
                <w:rFonts w:ascii="Calibri" w:hAnsi="Calibri"/>
                <w:sz w:val="22"/>
                <w:szCs w:val="22"/>
              </w:rPr>
            </w:pPr>
            <w:r>
              <w:rPr>
                <w:rFonts w:ascii="Calibri" w:hAnsi="Calibri"/>
                <w:color w:val="000000"/>
                <w:sz w:val="22"/>
                <w:szCs w:val="22"/>
              </w:rPr>
              <w:t>110</w:t>
            </w:r>
          </w:p>
        </w:tc>
        <w:tc>
          <w:tcPr>
            <w:tcW w:w="1667" w:type="pct"/>
            <w:tcBorders>
              <w:top w:val="nil"/>
              <w:left w:val="nil"/>
              <w:bottom w:val="single" w:sz="4" w:space="0" w:color="auto"/>
              <w:right w:val="single" w:sz="4" w:space="0" w:color="auto"/>
            </w:tcBorders>
            <w:shd w:val="clear" w:color="auto" w:fill="auto"/>
            <w:noWrap/>
            <w:vAlign w:val="center"/>
            <w:hideMark/>
          </w:tcPr>
          <w:p w14:paraId="6CA48E85" w14:textId="4DCFEDD6" w:rsidR="00D14767" w:rsidRPr="00E94C25" w:rsidRDefault="00D14767" w:rsidP="00D14767">
            <w:pPr>
              <w:jc w:val="center"/>
              <w:rPr>
                <w:rFonts w:ascii="Calibri" w:hAnsi="Calibri"/>
                <w:sz w:val="22"/>
                <w:szCs w:val="22"/>
              </w:rPr>
            </w:pPr>
            <w:r>
              <w:rPr>
                <w:rFonts w:ascii="Calibri" w:hAnsi="Calibri"/>
                <w:color w:val="000000"/>
                <w:sz w:val="22"/>
                <w:szCs w:val="22"/>
              </w:rPr>
              <w:t>130</w:t>
            </w:r>
          </w:p>
        </w:tc>
      </w:tr>
      <w:tr w:rsidR="00D14767" w:rsidRPr="00E94C25" w14:paraId="3B0FC22A" w14:textId="77777777" w:rsidTr="00D154B6">
        <w:trPr>
          <w:trHeight w:val="20"/>
          <w:jc w:val="center"/>
        </w:trPr>
        <w:tc>
          <w:tcPr>
            <w:tcW w:w="1667" w:type="pct"/>
            <w:tcBorders>
              <w:top w:val="nil"/>
              <w:left w:val="single" w:sz="4" w:space="0" w:color="auto"/>
              <w:bottom w:val="single" w:sz="4" w:space="0" w:color="auto"/>
              <w:right w:val="single" w:sz="4" w:space="0" w:color="auto"/>
            </w:tcBorders>
            <w:shd w:val="clear" w:color="auto" w:fill="auto"/>
            <w:noWrap/>
            <w:vAlign w:val="center"/>
            <w:hideMark/>
          </w:tcPr>
          <w:p w14:paraId="7877726D" w14:textId="02063E34" w:rsidR="00D14767" w:rsidRPr="00E94C25" w:rsidRDefault="00D14767" w:rsidP="00D14767">
            <w:pPr>
              <w:jc w:val="center"/>
              <w:rPr>
                <w:rFonts w:ascii="Calibri" w:hAnsi="Calibri"/>
                <w:sz w:val="22"/>
                <w:szCs w:val="22"/>
              </w:rPr>
            </w:pPr>
            <w:r>
              <w:rPr>
                <w:rFonts w:ascii="Calibri" w:hAnsi="Calibri"/>
                <w:color w:val="000000"/>
                <w:sz w:val="22"/>
                <w:szCs w:val="22"/>
              </w:rPr>
              <w:t>95.0</w:t>
            </w:r>
          </w:p>
        </w:tc>
        <w:tc>
          <w:tcPr>
            <w:tcW w:w="1667" w:type="pct"/>
            <w:tcBorders>
              <w:top w:val="nil"/>
              <w:left w:val="nil"/>
              <w:bottom w:val="single" w:sz="4" w:space="0" w:color="auto"/>
              <w:right w:val="single" w:sz="4" w:space="0" w:color="auto"/>
            </w:tcBorders>
            <w:shd w:val="clear" w:color="auto" w:fill="auto"/>
            <w:noWrap/>
            <w:vAlign w:val="center"/>
            <w:hideMark/>
          </w:tcPr>
          <w:p w14:paraId="196DA5F4" w14:textId="162184EB" w:rsidR="00D14767" w:rsidRPr="00E94C25" w:rsidRDefault="00D14767" w:rsidP="00D14767">
            <w:pPr>
              <w:jc w:val="center"/>
              <w:rPr>
                <w:rFonts w:ascii="Calibri" w:hAnsi="Calibri"/>
                <w:sz w:val="22"/>
                <w:szCs w:val="22"/>
              </w:rPr>
            </w:pPr>
            <w:r>
              <w:rPr>
                <w:rFonts w:ascii="Calibri" w:hAnsi="Calibri"/>
                <w:color w:val="000000"/>
                <w:sz w:val="22"/>
                <w:szCs w:val="22"/>
              </w:rPr>
              <w:t>110</w:t>
            </w:r>
          </w:p>
        </w:tc>
        <w:tc>
          <w:tcPr>
            <w:tcW w:w="1667" w:type="pct"/>
            <w:tcBorders>
              <w:top w:val="nil"/>
              <w:left w:val="nil"/>
              <w:bottom w:val="single" w:sz="4" w:space="0" w:color="auto"/>
              <w:right w:val="single" w:sz="4" w:space="0" w:color="auto"/>
            </w:tcBorders>
            <w:shd w:val="clear" w:color="auto" w:fill="auto"/>
            <w:noWrap/>
            <w:vAlign w:val="center"/>
            <w:hideMark/>
          </w:tcPr>
          <w:p w14:paraId="51AE894B" w14:textId="48543694" w:rsidR="00D14767" w:rsidRPr="00E94C25" w:rsidRDefault="00D14767" w:rsidP="00D14767">
            <w:pPr>
              <w:jc w:val="center"/>
              <w:rPr>
                <w:rFonts w:ascii="Calibri" w:hAnsi="Calibri"/>
                <w:sz w:val="22"/>
                <w:szCs w:val="22"/>
              </w:rPr>
            </w:pPr>
            <w:r>
              <w:rPr>
                <w:rFonts w:ascii="Calibri" w:hAnsi="Calibri"/>
                <w:color w:val="000000"/>
                <w:sz w:val="22"/>
                <w:szCs w:val="22"/>
              </w:rPr>
              <w:t>130</w:t>
            </w:r>
          </w:p>
        </w:tc>
      </w:tr>
      <w:tr w:rsidR="00D14767" w:rsidRPr="00E94C25" w14:paraId="57F332C0" w14:textId="77777777" w:rsidTr="00D154B6">
        <w:trPr>
          <w:trHeight w:val="20"/>
          <w:jc w:val="center"/>
        </w:trPr>
        <w:tc>
          <w:tcPr>
            <w:tcW w:w="1667" w:type="pct"/>
            <w:tcBorders>
              <w:top w:val="nil"/>
              <w:left w:val="single" w:sz="4" w:space="0" w:color="auto"/>
              <w:bottom w:val="single" w:sz="4" w:space="0" w:color="auto"/>
              <w:right w:val="single" w:sz="4" w:space="0" w:color="auto"/>
            </w:tcBorders>
            <w:shd w:val="clear" w:color="auto" w:fill="auto"/>
            <w:noWrap/>
            <w:vAlign w:val="center"/>
            <w:hideMark/>
          </w:tcPr>
          <w:p w14:paraId="669895CE" w14:textId="24A76965" w:rsidR="00D14767" w:rsidRPr="00E94C25" w:rsidRDefault="00D14767" w:rsidP="00D14767">
            <w:pPr>
              <w:jc w:val="center"/>
              <w:rPr>
                <w:rFonts w:ascii="Calibri" w:hAnsi="Calibri"/>
                <w:sz w:val="22"/>
                <w:szCs w:val="22"/>
              </w:rPr>
            </w:pPr>
            <w:r>
              <w:rPr>
                <w:rFonts w:ascii="Calibri" w:hAnsi="Calibri"/>
                <w:color w:val="000000"/>
                <w:sz w:val="22"/>
                <w:szCs w:val="22"/>
              </w:rPr>
              <w:t>100.3</w:t>
            </w:r>
          </w:p>
        </w:tc>
        <w:tc>
          <w:tcPr>
            <w:tcW w:w="1667" w:type="pct"/>
            <w:tcBorders>
              <w:top w:val="nil"/>
              <w:left w:val="nil"/>
              <w:bottom w:val="single" w:sz="4" w:space="0" w:color="auto"/>
              <w:right w:val="single" w:sz="4" w:space="0" w:color="auto"/>
            </w:tcBorders>
            <w:shd w:val="clear" w:color="auto" w:fill="auto"/>
            <w:noWrap/>
            <w:vAlign w:val="center"/>
            <w:hideMark/>
          </w:tcPr>
          <w:p w14:paraId="06B7E3CB" w14:textId="505135A7" w:rsidR="00D14767" w:rsidRPr="00E94C25" w:rsidRDefault="00D14767" w:rsidP="00D14767">
            <w:pPr>
              <w:jc w:val="center"/>
              <w:rPr>
                <w:rFonts w:ascii="Calibri" w:hAnsi="Calibri"/>
                <w:sz w:val="22"/>
                <w:szCs w:val="22"/>
              </w:rPr>
            </w:pPr>
            <w:r>
              <w:rPr>
                <w:rFonts w:ascii="Calibri" w:hAnsi="Calibri"/>
                <w:color w:val="000000"/>
                <w:sz w:val="22"/>
                <w:szCs w:val="22"/>
              </w:rPr>
              <w:t>110</w:t>
            </w:r>
          </w:p>
        </w:tc>
        <w:tc>
          <w:tcPr>
            <w:tcW w:w="1667" w:type="pct"/>
            <w:tcBorders>
              <w:top w:val="nil"/>
              <w:left w:val="nil"/>
              <w:bottom w:val="single" w:sz="4" w:space="0" w:color="auto"/>
              <w:right w:val="single" w:sz="4" w:space="0" w:color="auto"/>
            </w:tcBorders>
            <w:shd w:val="clear" w:color="auto" w:fill="auto"/>
            <w:noWrap/>
            <w:vAlign w:val="center"/>
            <w:hideMark/>
          </w:tcPr>
          <w:p w14:paraId="481805F2" w14:textId="344DB4F2" w:rsidR="00D14767" w:rsidRPr="00E94C25" w:rsidRDefault="00D14767" w:rsidP="00D14767">
            <w:pPr>
              <w:jc w:val="center"/>
              <w:rPr>
                <w:rFonts w:ascii="Calibri" w:hAnsi="Calibri"/>
                <w:sz w:val="22"/>
                <w:szCs w:val="22"/>
              </w:rPr>
            </w:pPr>
            <w:r>
              <w:rPr>
                <w:rFonts w:ascii="Calibri" w:hAnsi="Calibri"/>
                <w:color w:val="000000"/>
                <w:sz w:val="22"/>
                <w:szCs w:val="22"/>
              </w:rPr>
              <w:t>130</w:t>
            </w:r>
          </w:p>
        </w:tc>
      </w:tr>
      <w:tr w:rsidR="00D14767" w:rsidRPr="00E94C25" w14:paraId="3776B9A0" w14:textId="77777777" w:rsidTr="00D154B6">
        <w:trPr>
          <w:trHeight w:val="20"/>
          <w:jc w:val="center"/>
        </w:trPr>
        <w:tc>
          <w:tcPr>
            <w:tcW w:w="1667" w:type="pct"/>
            <w:tcBorders>
              <w:top w:val="nil"/>
              <w:left w:val="single" w:sz="4" w:space="0" w:color="auto"/>
              <w:bottom w:val="single" w:sz="4" w:space="0" w:color="auto"/>
              <w:right w:val="single" w:sz="4" w:space="0" w:color="auto"/>
            </w:tcBorders>
            <w:shd w:val="clear" w:color="auto" w:fill="auto"/>
            <w:noWrap/>
            <w:vAlign w:val="center"/>
            <w:hideMark/>
          </w:tcPr>
          <w:p w14:paraId="27EECE89" w14:textId="0729965B" w:rsidR="00D14767" w:rsidRPr="00E94C25" w:rsidRDefault="00D14767" w:rsidP="00D14767">
            <w:pPr>
              <w:jc w:val="center"/>
              <w:rPr>
                <w:rFonts w:ascii="Calibri" w:hAnsi="Calibri"/>
                <w:sz w:val="22"/>
                <w:szCs w:val="22"/>
              </w:rPr>
            </w:pPr>
            <w:r>
              <w:rPr>
                <w:rFonts w:ascii="Calibri" w:hAnsi="Calibri"/>
                <w:color w:val="000000"/>
                <w:sz w:val="22"/>
                <w:szCs w:val="22"/>
              </w:rPr>
              <w:t>97.1</w:t>
            </w:r>
          </w:p>
        </w:tc>
        <w:tc>
          <w:tcPr>
            <w:tcW w:w="1667" w:type="pct"/>
            <w:tcBorders>
              <w:top w:val="nil"/>
              <w:left w:val="nil"/>
              <w:bottom w:val="single" w:sz="4" w:space="0" w:color="auto"/>
              <w:right w:val="single" w:sz="4" w:space="0" w:color="auto"/>
            </w:tcBorders>
            <w:shd w:val="clear" w:color="auto" w:fill="auto"/>
            <w:noWrap/>
            <w:vAlign w:val="center"/>
            <w:hideMark/>
          </w:tcPr>
          <w:p w14:paraId="0F762EFF" w14:textId="07554501" w:rsidR="00D14767" w:rsidRPr="00E94C25" w:rsidRDefault="00D14767" w:rsidP="00D14767">
            <w:pPr>
              <w:jc w:val="center"/>
              <w:rPr>
                <w:rFonts w:ascii="Calibri" w:hAnsi="Calibri"/>
                <w:sz w:val="22"/>
                <w:szCs w:val="22"/>
              </w:rPr>
            </w:pPr>
            <w:r>
              <w:rPr>
                <w:rFonts w:ascii="Calibri" w:hAnsi="Calibri"/>
                <w:color w:val="000000"/>
                <w:sz w:val="22"/>
                <w:szCs w:val="22"/>
              </w:rPr>
              <w:t>110</w:t>
            </w:r>
          </w:p>
        </w:tc>
        <w:tc>
          <w:tcPr>
            <w:tcW w:w="1667" w:type="pct"/>
            <w:tcBorders>
              <w:top w:val="nil"/>
              <w:left w:val="nil"/>
              <w:bottom w:val="single" w:sz="4" w:space="0" w:color="auto"/>
              <w:right w:val="single" w:sz="4" w:space="0" w:color="auto"/>
            </w:tcBorders>
            <w:shd w:val="clear" w:color="auto" w:fill="auto"/>
            <w:noWrap/>
            <w:vAlign w:val="center"/>
            <w:hideMark/>
          </w:tcPr>
          <w:p w14:paraId="4076D0EF" w14:textId="0646DFAB" w:rsidR="00D14767" w:rsidRPr="00E94C25" w:rsidRDefault="00D14767" w:rsidP="00D14767">
            <w:pPr>
              <w:jc w:val="center"/>
              <w:rPr>
                <w:rFonts w:ascii="Calibri" w:hAnsi="Calibri"/>
                <w:sz w:val="22"/>
                <w:szCs w:val="22"/>
              </w:rPr>
            </w:pPr>
            <w:r>
              <w:rPr>
                <w:rFonts w:ascii="Calibri" w:hAnsi="Calibri"/>
                <w:color w:val="000000"/>
                <w:sz w:val="22"/>
                <w:szCs w:val="22"/>
              </w:rPr>
              <w:t>130</w:t>
            </w:r>
          </w:p>
        </w:tc>
      </w:tr>
      <w:tr w:rsidR="00D14767" w:rsidRPr="00E94C25" w14:paraId="5778321D" w14:textId="77777777" w:rsidTr="00D154B6">
        <w:trPr>
          <w:trHeight w:val="20"/>
          <w:jc w:val="center"/>
        </w:trPr>
        <w:tc>
          <w:tcPr>
            <w:tcW w:w="1667" w:type="pct"/>
            <w:tcBorders>
              <w:top w:val="nil"/>
              <w:left w:val="single" w:sz="4" w:space="0" w:color="auto"/>
              <w:bottom w:val="single" w:sz="4" w:space="0" w:color="auto"/>
              <w:right w:val="single" w:sz="4" w:space="0" w:color="auto"/>
            </w:tcBorders>
            <w:shd w:val="clear" w:color="auto" w:fill="auto"/>
            <w:noWrap/>
            <w:vAlign w:val="center"/>
            <w:hideMark/>
          </w:tcPr>
          <w:p w14:paraId="60BBF22F" w14:textId="17327762" w:rsidR="00D14767" w:rsidRPr="00E94C25" w:rsidRDefault="00D14767" w:rsidP="00D14767">
            <w:pPr>
              <w:jc w:val="center"/>
              <w:rPr>
                <w:rFonts w:ascii="Calibri" w:hAnsi="Calibri"/>
                <w:sz w:val="22"/>
                <w:szCs w:val="22"/>
              </w:rPr>
            </w:pPr>
            <w:r>
              <w:rPr>
                <w:rFonts w:ascii="Calibri" w:hAnsi="Calibri"/>
                <w:color w:val="000000"/>
                <w:sz w:val="22"/>
                <w:szCs w:val="22"/>
              </w:rPr>
              <w:t>98.9</w:t>
            </w:r>
          </w:p>
        </w:tc>
        <w:tc>
          <w:tcPr>
            <w:tcW w:w="1667" w:type="pct"/>
            <w:tcBorders>
              <w:top w:val="nil"/>
              <w:left w:val="nil"/>
              <w:bottom w:val="single" w:sz="4" w:space="0" w:color="auto"/>
              <w:right w:val="single" w:sz="4" w:space="0" w:color="auto"/>
            </w:tcBorders>
            <w:shd w:val="clear" w:color="auto" w:fill="auto"/>
            <w:noWrap/>
            <w:vAlign w:val="center"/>
            <w:hideMark/>
          </w:tcPr>
          <w:p w14:paraId="2546E4B8" w14:textId="75FF8BBB" w:rsidR="00D14767" w:rsidRPr="00E94C25" w:rsidRDefault="00D14767" w:rsidP="00D14767">
            <w:pPr>
              <w:jc w:val="center"/>
              <w:rPr>
                <w:rFonts w:ascii="Calibri" w:hAnsi="Calibri"/>
                <w:sz w:val="22"/>
                <w:szCs w:val="22"/>
              </w:rPr>
            </w:pPr>
            <w:r>
              <w:rPr>
                <w:rFonts w:ascii="Calibri" w:hAnsi="Calibri"/>
                <w:color w:val="000000"/>
                <w:sz w:val="22"/>
                <w:szCs w:val="22"/>
              </w:rPr>
              <w:t>110</w:t>
            </w:r>
          </w:p>
        </w:tc>
        <w:tc>
          <w:tcPr>
            <w:tcW w:w="1667" w:type="pct"/>
            <w:tcBorders>
              <w:top w:val="nil"/>
              <w:left w:val="nil"/>
              <w:bottom w:val="single" w:sz="4" w:space="0" w:color="auto"/>
              <w:right w:val="single" w:sz="4" w:space="0" w:color="auto"/>
            </w:tcBorders>
            <w:shd w:val="clear" w:color="auto" w:fill="auto"/>
            <w:noWrap/>
            <w:vAlign w:val="center"/>
            <w:hideMark/>
          </w:tcPr>
          <w:p w14:paraId="2DD022C9" w14:textId="11945450" w:rsidR="00D14767" w:rsidRPr="00E94C25" w:rsidRDefault="00D14767" w:rsidP="00D14767">
            <w:pPr>
              <w:jc w:val="center"/>
              <w:rPr>
                <w:rFonts w:ascii="Calibri" w:hAnsi="Calibri"/>
                <w:sz w:val="22"/>
                <w:szCs w:val="22"/>
              </w:rPr>
            </w:pPr>
            <w:r>
              <w:rPr>
                <w:rFonts w:ascii="Calibri" w:hAnsi="Calibri"/>
                <w:color w:val="000000"/>
                <w:sz w:val="22"/>
                <w:szCs w:val="22"/>
              </w:rPr>
              <w:t>130</w:t>
            </w:r>
          </w:p>
        </w:tc>
      </w:tr>
      <w:tr w:rsidR="00D14767" w:rsidRPr="00E94C25" w14:paraId="0D64739B" w14:textId="77777777" w:rsidTr="00D154B6">
        <w:trPr>
          <w:trHeight w:val="20"/>
          <w:jc w:val="center"/>
        </w:trPr>
        <w:tc>
          <w:tcPr>
            <w:tcW w:w="1667" w:type="pct"/>
            <w:tcBorders>
              <w:top w:val="nil"/>
              <w:left w:val="single" w:sz="4" w:space="0" w:color="auto"/>
              <w:bottom w:val="single" w:sz="4" w:space="0" w:color="auto"/>
              <w:right w:val="single" w:sz="4" w:space="0" w:color="auto"/>
            </w:tcBorders>
            <w:shd w:val="clear" w:color="auto" w:fill="auto"/>
            <w:noWrap/>
            <w:vAlign w:val="center"/>
            <w:hideMark/>
          </w:tcPr>
          <w:p w14:paraId="3927696A" w14:textId="13CBEB26" w:rsidR="00D14767" w:rsidRPr="00E94C25" w:rsidRDefault="00D14767" w:rsidP="00D14767">
            <w:pPr>
              <w:jc w:val="center"/>
              <w:rPr>
                <w:rFonts w:ascii="Calibri" w:hAnsi="Calibri"/>
                <w:sz w:val="22"/>
                <w:szCs w:val="22"/>
              </w:rPr>
            </w:pPr>
            <w:r>
              <w:rPr>
                <w:rFonts w:ascii="Calibri" w:hAnsi="Calibri"/>
                <w:color w:val="000000"/>
                <w:sz w:val="22"/>
                <w:szCs w:val="22"/>
              </w:rPr>
              <w:t>106.5</w:t>
            </w:r>
          </w:p>
        </w:tc>
        <w:tc>
          <w:tcPr>
            <w:tcW w:w="1667" w:type="pct"/>
            <w:tcBorders>
              <w:top w:val="nil"/>
              <w:left w:val="nil"/>
              <w:bottom w:val="single" w:sz="4" w:space="0" w:color="auto"/>
              <w:right w:val="single" w:sz="4" w:space="0" w:color="auto"/>
            </w:tcBorders>
            <w:shd w:val="clear" w:color="auto" w:fill="auto"/>
            <w:noWrap/>
            <w:vAlign w:val="center"/>
            <w:hideMark/>
          </w:tcPr>
          <w:p w14:paraId="3803CA0C" w14:textId="66AF56F5" w:rsidR="00D14767" w:rsidRPr="00E94C25" w:rsidRDefault="00D14767" w:rsidP="00D14767">
            <w:pPr>
              <w:jc w:val="center"/>
              <w:rPr>
                <w:rFonts w:ascii="Calibri" w:hAnsi="Calibri"/>
                <w:sz w:val="22"/>
                <w:szCs w:val="22"/>
              </w:rPr>
            </w:pPr>
            <w:r>
              <w:rPr>
                <w:rFonts w:ascii="Calibri" w:hAnsi="Calibri"/>
                <w:color w:val="000000"/>
                <w:sz w:val="22"/>
                <w:szCs w:val="22"/>
              </w:rPr>
              <w:t>110</w:t>
            </w:r>
          </w:p>
        </w:tc>
        <w:tc>
          <w:tcPr>
            <w:tcW w:w="1667" w:type="pct"/>
            <w:tcBorders>
              <w:top w:val="nil"/>
              <w:left w:val="nil"/>
              <w:bottom w:val="single" w:sz="4" w:space="0" w:color="auto"/>
              <w:right w:val="single" w:sz="4" w:space="0" w:color="auto"/>
            </w:tcBorders>
            <w:shd w:val="clear" w:color="auto" w:fill="auto"/>
            <w:noWrap/>
            <w:vAlign w:val="center"/>
            <w:hideMark/>
          </w:tcPr>
          <w:p w14:paraId="151B8CC2" w14:textId="4E881477" w:rsidR="00D14767" w:rsidRPr="00E94C25" w:rsidRDefault="00D14767" w:rsidP="00D14767">
            <w:pPr>
              <w:jc w:val="center"/>
              <w:rPr>
                <w:rFonts w:ascii="Calibri" w:hAnsi="Calibri"/>
                <w:sz w:val="22"/>
                <w:szCs w:val="22"/>
              </w:rPr>
            </w:pPr>
            <w:r>
              <w:rPr>
                <w:rFonts w:ascii="Calibri" w:hAnsi="Calibri"/>
                <w:color w:val="000000"/>
                <w:sz w:val="22"/>
                <w:szCs w:val="22"/>
              </w:rPr>
              <w:t>130</w:t>
            </w:r>
          </w:p>
        </w:tc>
      </w:tr>
      <w:tr w:rsidR="00D14767" w:rsidRPr="00E94C25" w14:paraId="51991281" w14:textId="77777777" w:rsidTr="00D154B6">
        <w:trPr>
          <w:trHeight w:val="20"/>
          <w:jc w:val="center"/>
        </w:trPr>
        <w:tc>
          <w:tcPr>
            <w:tcW w:w="1667" w:type="pct"/>
            <w:tcBorders>
              <w:top w:val="nil"/>
              <w:left w:val="single" w:sz="4" w:space="0" w:color="auto"/>
              <w:bottom w:val="single" w:sz="4" w:space="0" w:color="auto"/>
              <w:right w:val="single" w:sz="4" w:space="0" w:color="auto"/>
            </w:tcBorders>
            <w:shd w:val="clear" w:color="auto" w:fill="auto"/>
            <w:noWrap/>
            <w:vAlign w:val="center"/>
            <w:hideMark/>
          </w:tcPr>
          <w:p w14:paraId="61B3A87F" w14:textId="05AD00C0" w:rsidR="00D14767" w:rsidRPr="00E94C25" w:rsidRDefault="00D14767" w:rsidP="00D14767">
            <w:pPr>
              <w:jc w:val="center"/>
              <w:rPr>
                <w:rFonts w:ascii="Calibri" w:hAnsi="Calibri"/>
                <w:sz w:val="22"/>
                <w:szCs w:val="22"/>
              </w:rPr>
            </w:pPr>
            <w:r>
              <w:rPr>
                <w:rFonts w:ascii="Calibri" w:hAnsi="Calibri"/>
                <w:color w:val="000000"/>
                <w:sz w:val="22"/>
                <w:szCs w:val="22"/>
              </w:rPr>
              <w:t>105.3</w:t>
            </w:r>
          </w:p>
        </w:tc>
        <w:tc>
          <w:tcPr>
            <w:tcW w:w="1667" w:type="pct"/>
            <w:tcBorders>
              <w:top w:val="nil"/>
              <w:left w:val="nil"/>
              <w:bottom w:val="single" w:sz="4" w:space="0" w:color="auto"/>
              <w:right w:val="single" w:sz="4" w:space="0" w:color="auto"/>
            </w:tcBorders>
            <w:shd w:val="clear" w:color="auto" w:fill="auto"/>
            <w:noWrap/>
            <w:vAlign w:val="center"/>
            <w:hideMark/>
          </w:tcPr>
          <w:p w14:paraId="4453E9E7" w14:textId="289C6EE3" w:rsidR="00D14767" w:rsidRPr="00E94C25" w:rsidRDefault="00D14767" w:rsidP="00D14767">
            <w:pPr>
              <w:jc w:val="center"/>
              <w:rPr>
                <w:rFonts w:ascii="Calibri" w:hAnsi="Calibri"/>
                <w:sz w:val="22"/>
                <w:szCs w:val="22"/>
              </w:rPr>
            </w:pPr>
            <w:r>
              <w:rPr>
                <w:rFonts w:ascii="Calibri" w:hAnsi="Calibri"/>
                <w:color w:val="000000"/>
                <w:sz w:val="22"/>
                <w:szCs w:val="22"/>
              </w:rPr>
              <w:t>120</w:t>
            </w:r>
          </w:p>
        </w:tc>
        <w:tc>
          <w:tcPr>
            <w:tcW w:w="1667" w:type="pct"/>
            <w:tcBorders>
              <w:top w:val="nil"/>
              <w:left w:val="nil"/>
              <w:bottom w:val="single" w:sz="4" w:space="0" w:color="auto"/>
              <w:right w:val="single" w:sz="4" w:space="0" w:color="auto"/>
            </w:tcBorders>
            <w:shd w:val="clear" w:color="auto" w:fill="auto"/>
            <w:noWrap/>
            <w:vAlign w:val="center"/>
            <w:hideMark/>
          </w:tcPr>
          <w:p w14:paraId="74B46A45" w14:textId="37BA6431" w:rsidR="00D14767" w:rsidRPr="00E94C25" w:rsidRDefault="00D14767" w:rsidP="00D14767">
            <w:pPr>
              <w:jc w:val="center"/>
              <w:rPr>
                <w:rFonts w:ascii="Calibri" w:hAnsi="Calibri"/>
                <w:sz w:val="22"/>
                <w:szCs w:val="22"/>
              </w:rPr>
            </w:pPr>
            <w:r>
              <w:rPr>
                <w:rFonts w:ascii="Calibri" w:hAnsi="Calibri"/>
                <w:color w:val="000000"/>
                <w:sz w:val="22"/>
                <w:szCs w:val="22"/>
              </w:rPr>
              <w:t>130</w:t>
            </w:r>
          </w:p>
        </w:tc>
      </w:tr>
      <w:tr w:rsidR="00D14767" w:rsidRPr="00E94C25" w14:paraId="03C447BB" w14:textId="77777777" w:rsidTr="00D154B6">
        <w:trPr>
          <w:trHeight w:val="20"/>
          <w:jc w:val="center"/>
        </w:trPr>
        <w:tc>
          <w:tcPr>
            <w:tcW w:w="1667" w:type="pct"/>
            <w:tcBorders>
              <w:top w:val="nil"/>
              <w:left w:val="single" w:sz="4" w:space="0" w:color="auto"/>
              <w:bottom w:val="single" w:sz="4" w:space="0" w:color="auto"/>
              <w:right w:val="single" w:sz="4" w:space="0" w:color="auto"/>
            </w:tcBorders>
            <w:shd w:val="clear" w:color="auto" w:fill="auto"/>
            <w:noWrap/>
            <w:vAlign w:val="center"/>
            <w:hideMark/>
          </w:tcPr>
          <w:p w14:paraId="7867C669" w14:textId="0432079E" w:rsidR="00D14767" w:rsidRPr="00E94C25" w:rsidRDefault="00D14767" w:rsidP="00D14767">
            <w:pPr>
              <w:jc w:val="center"/>
              <w:rPr>
                <w:rFonts w:ascii="Calibri" w:hAnsi="Calibri"/>
                <w:sz w:val="22"/>
                <w:szCs w:val="22"/>
              </w:rPr>
            </w:pPr>
            <w:r>
              <w:rPr>
                <w:rFonts w:ascii="Calibri" w:hAnsi="Calibri"/>
                <w:color w:val="000000"/>
                <w:sz w:val="22"/>
                <w:szCs w:val="22"/>
              </w:rPr>
              <w:t>109.5</w:t>
            </w:r>
          </w:p>
        </w:tc>
        <w:tc>
          <w:tcPr>
            <w:tcW w:w="1667" w:type="pct"/>
            <w:tcBorders>
              <w:top w:val="nil"/>
              <w:left w:val="nil"/>
              <w:bottom w:val="single" w:sz="4" w:space="0" w:color="auto"/>
              <w:right w:val="single" w:sz="4" w:space="0" w:color="auto"/>
            </w:tcBorders>
            <w:shd w:val="clear" w:color="auto" w:fill="auto"/>
            <w:noWrap/>
            <w:vAlign w:val="center"/>
            <w:hideMark/>
          </w:tcPr>
          <w:p w14:paraId="4033AB65" w14:textId="7D73EF20" w:rsidR="00D14767" w:rsidRPr="00E94C25" w:rsidRDefault="00D14767" w:rsidP="00D14767">
            <w:pPr>
              <w:jc w:val="center"/>
              <w:rPr>
                <w:rFonts w:ascii="Calibri" w:hAnsi="Calibri"/>
                <w:sz w:val="22"/>
                <w:szCs w:val="22"/>
              </w:rPr>
            </w:pPr>
            <w:r>
              <w:rPr>
                <w:rFonts w:ascii="Calibri" w:hAnsi="Calibri"/>
                <w:color w:val="000000"/>
                <w:sz w:val="22"/>
                <w:szCs w:val="22"/>
              </w:rPr>
              <w:t>120</w:t>
            </w:r>
          </w:p>
        </w:tc>
        <w:tc>
          <w:tcPr>
            <w:tcW w:w="1667" w:type="pct"/>
            <w:tcBorders>
              <w:top w:val="nil"/>
              <w:left w:val="nil"/>
              <w:bottom w:val="single" w:sz="4" w:space="0" w:color="auto"/>
              <w:right w:val="single" w:sz="4" w:space="0" w:color="auto"/>
            </w:tcBorders>
            <w:shd w:val="clear" w:color="auto" w:fill="auto"/>
            <w:noWrap/>
            <w:vAlign w:val="center"/>
            <w:hideMark/>
          </w:tcPr>
          <w:p w14:paraId="406CAC18" w14:textId="76C1DA9A" w:rsidR="00D14767" w:rsidRPr="00E94C25" w:rsidRDefault="00D14767" w:rsidP="00D14767">
            <w:pPr>
              <w:jc w:val="center"/>
              <w:rPr>
                <w:rFonts w:ascii="Calibri" w:hAnsi="Calibri"/>
                <w:sz w:val="22"/>
                <w:szCs w:val="22"/>
              </w:rPr>
            </w:pPr>
            <w:r>
              <w:rPr>
                <w:rFonts w:ascii="Calibri" w:hAnsi="Calibri"/>
                <w:color w:val="000000"/>
                <w:sz w:val="22"/>
                <w:szCs w:val="22"/>
              </w:rPr>
              <w:t>130</w:t>
            </w:r>
          </w:p>
        </w:tc>
      </w:tr>
      <w:tr w:rsidR="00D14767" w:rsidRPr="00E94C25" w14:paraId="49094EE7" w14:textId="77777777" w:rsidTr="00D154B6">
        <w:trPr>
          <w:trHeight w:val="20"/>
          <w:jc w:val="center"/>
        </w:trPr>
        <w:tc>
          <w:tcPr>
            <w:tcW w:w="1667" w:type="pct"/>
            <w:tcBorders>
              <w:top w:val="nil"/>
              <w:left w:val="single" w:sz="4" w:space="0" w:color="auto"/>
              <w:bottom w:val="single" w:sz="4" w:space="0" w:color="auto"/>
              <w:right w:val="single" w:sz="4" w:space="0" w:color="auto"/>
            </w:tcBorders>
            <w:shd w:val="clear" w:color="auto" w:fill="auto"/>
            <w:noWrap/>
            <w:vAlign w:val="center"/>
            <w:hideMark/>
          </w:tcPr>
          <w:p w14:paraId="1C008576" w14:textId="67957C58" w:rsidR="00D14767" w:rsidRPr="00E94C25" w:rsidRDefault="00D14767" w:rsidP="00D14767">
            <w:pPr>
              <w:jc w:val="center"/>
              <w:rPr>
                <w:rFonts w:ascii="Calibri" w:hAnsi="Calibri"/>
                <w:sz w:val="22"/>
                <w:szCs w:val="22"/>
              </w:rPr>
            </w:pPr>
            <w:r>
              <w:rPr>
                <w:rFonts w:ascii="Calibri" w:hAnsi="Calibri"/>
                <w:color w:val="000000"/>
                <w:sz w:val="22"/>
                <w:szCs w:val="22"/>
              </w:rPr>
              <w:t>115.8</w:t>
            </w:r>
          </w:p>
        </w:tc>
        <w:tc>
          <w:tcPr>
            <w:tcW w:w="1667" w:type="pct"/>
            <w:tcBorders>
              <w:top w:val="nil"/>
              <w:left w:val="nil"/>
              <w:bottom w:val="single" w:sz="4" w:space="0" w:color="auto"/>
              <w:right w:val="single" w:sz="4" w:space="0" w:color="auto"/>
            </w:tcBorders>
            <w:shd w:val="clear" w:color="auto" w:fill="auto"/>
            <w:noWrap/>
            <w:vAlign w:val="center"/>
            <w:hideMark/>
          </w:tcPr>
          <w:p w14:paraId="5B0CC001" w14:textId="6AEAF03D" w:rsidR="00D14767" w:rsidRPr="00E94C25" w:rsidRDefault="00D14767" w:rsidP="00D14767">
            <w:pPr>
              <w:jc w:val="center"/>
              <w:rPr>
                <w:rFonts w:ascii="Calibri" w:hAnsi="Calibri"/>
                <w:sz w:val="22"/>
                <w:szCs w:val="22"/>
              </w:rPr>
            </w:pPr>
            <w:r>
              <w:rPr>
                <w:rFonts w:ascii="Calibri" w:hAnsi="Calibri"/>
                <w:color w:val="000000"/>
                <w:sz w:val="22"/>
                <w:szCs w:val="22"/>
              </w:rPr>
              <w:t>125</w:t>
            </w:r>
          </w:p>
        </w:tc>
        <w:tc>
          <w:tcPr>
            <w:tcW w:w="1667" w:type="pct"/>
            <w:tcBorders>
              <w:top w:val="nil"/>
              <w:left w:val="nil"/>
              <w:bottom w:val="single" w:sz="4" w:space="0" w:color="auto"/>
              <w:right w:val="single" w:sz="4" w:space="0" w:color="auto"/>
            </w:tcBorders>
            <w:shd w:val="clear" w:color="auto" w:fill="auto"/>
            <w:noWrap/>
            <w:vAlign w:val="center"/>
            <w:hideMark/>
          </w:tcPr>
          <w:p w14:paraId="06593C7E" w14:textId="47084778" w:rsidR="00D14767" w:rsidRPr="00E94C25" w:rsidRDefault="00D14767" w:rsidP="00D14767">
            <w:pPr>
              <w:jc w:val="center"/>
              <w:rPr>
                <w:rFonts w:ascii="Calibri" w:hAnsi="Calibri"/>
                <w:sz w:val="22"/>
                <w:szCs w:val="22"/>
              </w:rPr>
            </w:pPr>
            <w:r>
              <w:rPr>
                <w:rFonts w:ascii="Calibri" w:hAnsi="Calibri"/>
                <w:color w:val="000000"/>
                <w:sz w:val="22"/>
                <w:szCs w:val="22"/>
              </w:rPr>
              <w:t>135</w:t>
            </w:r>
          </w:p>
        </w:tc>
      </w:tr>
      <w:tr w:rsidR="00D14767" w:rsidRPr="00E94C25" w14:paraId="76818DDB" w14:textId="77777777" w:rsidTr="00D154B6">
        <w:trPr>
          <w:trHeight w:val="20"/>
          <w:jc w:val="center"/>
        </w:trPr>
        <w:tc>
          <w:tcPr>
            <w:tcW w:w="1667" w:type="pct"/>
            <w:tcBorders>
              <w:top w:val="nil"/>
              <w:left w:val="single" w:sz="4" w:space="0" w:color="auto"/>
              <w:bottom w:val="nil"/>
              <w:right w:val="single" w:sz="4" w:space="0" w:color="auto"/>
            </w:tcBorders>
            <w:shd w:val="clear" w:color="auto" w:fill="auto"/>
            <w:noWrap/>
            <w:vAlign w:val="center"/>
            <w:hideMark/>
          </w:tcPr>
          <w:p w14:paraId="0524C8AA" w14:textId="72CF1B32" w:rsidR="00D14767" w:rsidRPr="00E94C25" w:rsidRDefault="00D14767" w:rsidP="00D14767">
            <w:pPr>
              <w:jc w:val="center"/>
              <w:rPr>
                <w:rFonts w:ascii="Calibri" w:hAnsi="Calibri"/>
                <w:sz w:val="22"/>
                <w:szCs w:val="22"/>
              </w:rPr>
            </w:pPr>
            <w:r>
              <w:rPr>
                <w:rFonts w:ascii="Calibri" w:hAnsi="Calibri"/>
                <w:color w:val="000000"/>
                <w:sz w:val="22"/>
                <w:szCs w:val="22"/>
              </w:rPr>
              <w:t>113.9</w:t>
            </w:r>
          </w:p>
        </w:tc>
        <w:tc>
          <w:tcPr>
            <w:tcW w:w="1667" w:type="pct"/>
            <w:tcBorders>
              <w:top w:val="nil"/>
              <w:left w:val="nil"/>
              <w:bottom w:val="nil"/>
              <w:right w:val="single" w:sz="4" w:space="0" w:color="auto"/>
            </w:tcBorders>
            <w:shd w:val="clear" w:color="auto" w:fill="auto"/>
            <w:noWrap/>
            <w:vAlign w:val="center"/>
            <w:hideMark/>
          </w:tcPr>
          <w:p w14:paraId="6F32E5F1" w14:textId="043418FB" w:rsidR="00D14767" w:rsidRPr="00E94C25" w:rsidRDefault="00D14767" w:rsidP="00D14767">
            <w:pPr>
              <w:jc w:val="center"/>
              <w:rPr>
                <w:rFonts w:ascii="Calibri" w:hAnsi="Calibri"/>
                <w:sz w:val="22"/>
                <w:szCs w:val="22"/>
              </w:rPr>
            </w:pPr>
            <w:r>
              <w:rPr>
                <w:rFonts w:ascii="Calibri" w:hAnsi="Calibri"/>
                <w:color w:val="000000"/>
                <w:sz w:val="22"/>
                <w:szCs w:val="22"/>
              </w:rPr>
              <w:t>125</w:t>
            </w:r>
          </w:p>
        </w:tc>
        <w:tc>
          <w:tcPr>
            <w:tcW w:w="1667" w:type="pct"/>
            <w:tcBorders>
              <w:top w:val="nil"/>
              <w:left w:val="nil"/>
              <w:bottom w:val="nil"/>
              <w:right w:val="single" w:sz="4" w:space="0" w:color="auto"/>
            </w:tcBorders>
            <w:shd w:val="clear" w:color="auto" w:fill="auto"/>
            <w:noWrap/>
            <w:vAlign w:val="center"/>
            <w:hideMark/>
          </w:tcPr>
          <w:p w14:paraId="7F4582AC" w14:textId="67E85751" w:rsidR="00D14767" w:rsidRPr="00E94C25" w:rsidRDefault="00D14767" w:rsidP="00D14767">
            <w:pPr>
              <w:jc w:val="center"/>
              <w:rPr>
                <w:rFonts w:ascii="Calibri" w:hAnsi="Calibri"/>
                <w:sz w:val="22"/>
                <w:szCs w:val="22"/>
              </w:rPr>
            </w:pPr>
            <w:r>
              <w:rPr>
                <w:rFonts w:ascii="Calibri" w:hAnsi="Calibri"/>
                <w:color w:val="000000"/>
                <w:sz w:val="22"/>
                <w:szCs w:val="22"/>
              </w:rPr>
              <w:t>135</w:t>
            </w:r>
          </w:p>
        </w:tc>
      </w:tr>
      <w:tr w:rsidR="00D14767" w:rsidRPr="00E94C25" w14:paraId="7ECA3052" w14:textId="77777777" w:rsidTr="00D154B6">
        <w:trPr>
          <w:trHeight w:val="20"/>
          <w:jc w:val="center"/>
        </w:trPr>
        <w:tc>
          <w:tcPr>
            <w:tcW w:w="1667" w:type="pct"/>
            <w:tcBorders>
              <w:top w:val="nil"/>
              <w:left w:val="single" w:sz="4" w:space="0" w:color="auto"/>
              <w:bottom w:val="nil"/>
              <w:right w:val="single" w:sz="4" w:space="0" w:color="auto"/>
            </w:tcBorders>
            <w:shd w:val="clear" w:color="auto" w:fill="auto"/>
            <w:noWrap/>
            <w:vAlign w:val="center"/>
          </w:tcPr>
          <w:p w14:paraId="7374DCE1" w14:textId="439FE83A" w:rsidR="00D14767" w:rsidRPr="00E94C25" w:rsidRDefault="00D14767" w:rsidP="00D14767">
            <w:pPr>
              <w:jc w:val="center"/>
              <w:rPr>
                <w:rFonts w:ascii="Calibri" w:hAnsi="Calibri"/>
                <w:sz w:val="22"/>
                <w:szCs w:val="22"/>
              </w:rPr>
            </w:pPr>
            <w:r>
              <w:rPr>
                <w:rFonts w:ascii="Calibri" w:hAnsi="Calibri"/>
                <w:color w:val="000000"/>
                <w:sz w:val="22"/>
                <w:szCs w:val="22"/>
              </w:rPr>
              <w:t>110.3</w:t>
            </w:r>
          </w:p>
        </w:tc>
        <w:tc>
          <w:tcPr>
            <w:tcW w:w="1667" w:type="pct"/>
            <w:tcBorders>
              <w:top w:val="nil"/>
              <w:left w:val="nil"/>
              <w:bottom w:val="nil"/>
              <w:right w:val="single" w:sz="4" w:space="0" w:color="auto"/>
            </w:tcBorders>
            <w:shd w:val="clear" w:color="auto" w:fill="auto"/>
            <w:noWrap/>
            <w:vAlign w:val="center"/>
          </w:tcPr>
          <w:p w14:paraId="654AA2AA" w14:textId="3FECBEA2" w:rsidR="00D14767" w:rsidRPr="00E94C25" w:rsidRDefault="00D14767" w:rsidP="00D14767">
            <w:pPr>
              <w:jc w:val="center"/>
              <w:rPr>
                <w:rFonts w:ascii="Calibri" w:hAnsi="Calibri"/>
                <w:sz w:val="22"/>
                <w:szCs w:val="22"/>
              </w:rPr>
            </w:pPr>
            <w:r>
              <w:rPr>
                <w:rFonts w:ascii="Calibri" w:hAnsi="Calibri"/>
                <w:color w:val="000000"/>
                <w:sz w:val="22"/>
                <w:szCs w:val="22"/>
              </w:rPr>
              <w:t>125</w:t>
            </w:r>
          </w:p>
        </w:tc>
        <w:tc>
          <w:tcPr>
            <w:tcW w:w="1667" w:type="pct"/>
            <w:tcBorders>
              <w:top w:val="nil"/>
              <w:left w:val="nil"/>
              <w:bottom w:val="nil"/>
              <w:right w:val="single" w:sz="4" w:space="0" w:color="auto"/>
            </w:tcBorders>
            <w:shd w:val="clear" w:color="auto" w:fill="auto"/>
            <w:noWrap/>
            <w:vAlign w:val="center"/>
          </w:tcPr>
          <w:p w14:paraId="2B9FE9B3" w14:textId="00237630" w:rsidR="00D14767" w:rsidRPr="00E94C25" w:rsidRDefault="00D14767" w:rsidP="00D14767">
            <w:pPr>
              <w:jc w:val="center"/>
              <w:rPr>
                <w:rFonts w:ascii="Calibri" w:hAnsi="Calibri"/>
                <w:sz w:val="22"/>
                <w:szCs w:val="22"/>
              </w:rPr>
            </w:pPr>
            <w:r>
              <w:rPr>
                <w:rFonts w:ascii="Calibri" w:hAnsi="Calibri"/>
                <w:color w:val="000000"/>
                <w:sz w:val="22"/>
                <w:szCs w:val="22"/>
              </w:rPr>
              <w:t>135</w:t>
            </w:r>
          </w:p>
        </w:tc>
      </w:tr>
      <w:tr w:rsidR="00D14767" w:rsidRPr="00E94C25" w14:paraId="46E8FE69" w14:textId="77777777" w:rsidTr="00D154B6">
        <w:trPr>
          <w:trHeight w:val="20"/>
          <w:jc w:val="center"/>
        </w:trPr>
        <w:tc>
          <w:tcPr>
            <w:tcW w:w="1667" w:type="pct"/>
            <w:tcBorders>
              <w:top w:val="nil"/>
              <w:left w:val="single" w:sz="4" w:space="0" w:color="auto"/>
              <w:bottom w:val="single" w:sz="4" w:space="0" w:color="auto"/>
              <w:right w:val="single" w:sz="4" w:space="0" w:color="auto"/>
            </w:tcBorders>
            <w:shd w:val="clear" w:color="auto" w:fill="auto"/>
            <w:noWrap/>
            <w:vAlign w:val="center"/>
          </w:tcPr>
          <w:p w14:paraId="4E6FCCE3" w14:textId="689CCD23" w:rsidR="00D14767" w:rsidRPr="00E94C25" w:rsidRDefault="00D14767" w:rsidP="00D14767">
            <w:pPr>
              <w:jc w:val="center"/>
              <w:rPr>
                <w:rFonts w:ascii="Calibri" w:hAnsi="Calibri"/>
                <w:sz w:val="22"/>
                <w:szCs w:val="22"/>
              </w:rPr>
            </w:pPr>
            <w:r>
              <w:rPr>
                <w:rFonts w:ascii="Calibri" w:hAnsi="Calibri"/>
                <w:color w:val="000000"/>
                <w:sz w:val="22"/>
                <w:szCs w:val="22"/>
              </w:rPr>
              <w:t>110.9</w:t>
            </w:r>
          </w:p>
        </w:tc>
        <w:tc>
          <w:tcPr>
            <w:tcW w:w="1667" w:type="pct"/>
            <w:tcBorders>
              <w:top w:val="nil"/>
              <w:left w:val="nil"/>
              <w:bottom w:val="single" w:sz="4" w:space="0" w:color="auto"/>
              <w:right w:val="single" w:sz="4" w:space="0" w:color="auto"/>
            </w:tcBorders>
            <w:shd w:val="clear" w:color="auto" w:fill="auto"/>
            <w:noWrap/>
            <w:vAlign w:val="center"/>
          </w:tcPr>
          <w:p w14:paraId="3213FE93" w14:textId="35D022DF" w:rsidR="00D14767" w:rsidRPr="00E94C25" w:rsidRDefault="00D14767" w:rsidP="00D14767">
            <w:pPr>
              <w:jc w:val="center"/>
              <w:rPr>
                <w:rFonts w:ascii="Calibri" w:hAnsi="Calibri"/>
                <w:sz w:val="22"/>
                <w:szCs w:val="22"/>
              </w:rPr>
            </w:pPr>
            <w:r>
              <w:rPr>
                <w:rFonts w:ascii="Calibri" w:hAnsi="Calibri"/>
                <w:color w:val="000000"/>
                <w:sz w:val="22"/>
                <w:szCs w:val="22"/>
              </w:rPr>
              <w:t>125</w:t>
            </w:r>
          </w:p>
        </w:tc>
        <w:tc>
          <w:tcPr>
            <w:tcW w:w="1667" w:type="pct"/>
            <w:tcBorders>
              <w:top w:val="nil"/>
              <w:left w:val="nil"/>
              <w:bottom w:val="single" w:sz="4" w:space="0" w:color="auto"/>
              <w:right w:val="single" w:sz="4" w:space="0" w:color="auto"/>
            </w:tcBorders>
            <w:shd w:val="clear" w:color="auto" w:fill="auto"/>
            <w:noWrap/>
            <w:vAlign w:val="center"/>
          </w:tcPr>
          <w:p w14:paraId="3B2F3DE2" w14:textId="6B79CFF3" w:rsidR="00D14767" w:rsidRPr="00E94C25" w:rsidRDefault="00D14767" w:rsidP="00D14767">
            <w:pPr>
              <w:jc w:val="center"/>
              <w:rPr>
                <w:rFonts w:ascii="Calibri" w:hAnsi="Calibri"/>
                <w:sz w:val="22"/>
                <w:szCs w:val="22"/>
              </w:rPr>
            </w:pPr>
            <w:r>
              <w:rPr>
                <w:rFonts w:ascii="Calibri" w:hAnsi="Calibri"/>
                <w:color w:val="000000"/>
                <w:sz w:val="22"/>
                <w:szCs w:val="22"/>
              </w:rPr>
              <w:t>135</w:t>
            </w:r>
          </w:p>
        </w:tc>
      </w:tr>
    </w:tbl>
    <w:p w14:paraId="30C0FD30" w14:textId="77777777" w:rsidR="00E94C25" w:rsidRDefault="00E94C25" w:rsidP="00177B9F">
      <w:pPr>
        <w:rPr>
          <w:rFonts w:ascii="Arial" w:hAnsi="Arial" w:cs="Arial"/>
          <w:sz w:val="20"/>
          <w:szCs w:val="20"/>
        </w:rPr>
      </w:pPr>
    </w:p>
    <w:p w14:paraId="3A8FE62D" w14:textId="034C471E" w:rsidR="004306C2" w:rsidRPr="00B0079A" w:rsidRDefault="004306C2" w:rsidP="00177B9F">
      <w:pPr>
        <w:rPr>
          <w:rFonts w:ascii="Arial" w:hAnsi="Arial" w:cs="Arial"/>
          <w:sz w:val="20"/>
          <w:szCs w:val="20"/>
        </w:rPr>
      </w:pPr>
      <w:r w:rsidRPr="0026745F">
        <w:rPr>
          <w:rFonts w:ascii="Arial" w:hAnsi="Arial" w:cs="Arial"/>
          <w:b/>
          <w:sz w:val="20"/>
          <w:szCs w:val="20"/>
        </w:rPr>
        <w:t>Linear Fluorescen</w:t>
      </w:r>
      <w:r w:rsidR="0026745F" w:rsidRPr="0026745F">
        <w:rPr>
          <w:rFonts w:ascii="Arial" w:hAnsi="Arial" w:cs="Arial"/>
          <w:b/>
          <w:sz w:val="20"/>
          <w:szCs w:val="20"/>
        </w:rPr>
        <w:t>t:</w:t>
      </w:r>
      <w:r w:rsidR="0026745F">
        <w:rPr>
          <w:rFonts w:ascii="Arial" w:hAnsi="Arial" w:cs="Arial"/>
          <w:sz w:val="20"/>
          <w:szCs w:val="20"/>
        </w:rPr>
        <w:t xml:space="preserve">  The wattages used are from Appendix B Standard Fixture Wattages.  It is assumed to </w:t>
      </w:r>
      <w:r w:rsidR="0026745F" w:rsidRPr="00B0079A">
        <w:rPr>
          <w:rFonts w:ascii="Arial" w:hAnsi="Arial" w:cs="Arial"/>
          <w:sz w:val="20"/>
          <w:szCs w:val="20"/>
        </w:rPr>
        <w:t>use HPT8 lamps (3050 lumens per Federal Standards) with a ballast factor of 1.15.</w:t>
      </w:r>
    </w:p>
    <w:p w14:paraId="2EBEAAB8" w14:textId="77777777" w:rsidR="00E96638" w:rsidRDefault="00E96638" w:rsidP="00E96638">
      <w:pPr>
        <w:rPr>
          <w:rFonts w:ascii="Arial" w:hAnsi="Arial" w:cs="Arial"/>
          <w:b/>
          <w:sz w:val="20"/>
          <w:szCs w:val="20"/>
        </w:rPr>
      </w:pPr>
    </w:p>
    <w:p w14:paraId="1FB79243" w14:textId="126A4ABE" w:rsidR="00E96638" w:rsidRDefault="00E96638" w:rsidP="00E96638">
      <w:pPr>
        <w:rPr>
          <w:rFonts w:ascii="Arial" w:hAnsi="Arial" w:cs="Arial"/>
          <w:sz w:val="20"/>
          <w:szCs w:val="20"/>
        </w:rPr>
      </w:pPr>
      <w:r>
        <w:rPr>
          <w:rFonts w:ascii="Arial" w:hAnsi="Arial" w:cs="Arial"/>
          <w:b/>
          <w:sz w:val="20"/>
          <w:szCs w:val="20"/>
        </w:rPr>
        <w:t>T</w:t>
      </w:r>
      <w:r w:rsidRPr="00AA0317">
        <w:rPr>
          <w:rFonts w:ascii="Arial" w:hAnsi="Arial" w:cs="Arial"/>
          <w:b/>
          <w:sz w:val="20"/>
          <w:szCs w:val="20"/>
        </w:rPr>
        <w:t>LED Base Case</w:t>
      </w:r>
      <w:r w:rsidR="009C1FCB">
        <w:rPr>
          <w:rFonts w:ascii="Arial" w:hAnsi="Arial" w:cs="Arial"/>
          <w:b/>
          <w:sz w:val="20"/>
          <w:szCs w:val="20"/>
        </w:rPr>
        <w:t xml:space="preserve"> and TLED Fixture</w:t>
      </w:r>
      <w:r w:rsidRPr="00AA0317">
        <w:rPr>
          <w:rFonts w:ascii="Arial" w:hAnsi="Arial" w:cs="Arial"/>
          <w:b/>
          <w:sz w:val="20"/>
          <w:szCs w:val="20"/>
        </w:rPr>
        <w:t xml:space="preserve"> Efficacy:</w:t>
      </w:r>
      <w:r>
        <w:rPr>
          <w:rFonts w:ascii="Arial" w:hAnsi="Arial" w:cs="Arial"/>
          <w:sz w:val="20"/>
          <w:szCs w:val="20"/>
        </w:rPr>
        <w:t xml:space="preserve"> </w:t>
      </w:r>
    </w:p>
    <w:p w14:paraId="6072CA10" w14:textId="77777777" w:rsidR="00E96638" w:rsidRDefault="00E96638" w:rsidP="00E96638">
      <w:pPr>
        <w:rPr>
          <w:rFonts w:ascii="Arial" w:hAnsi="Arial" w:cs="Arial"/>
          <w:sz w:val="20"/>
          <w:szCs w:val="20"/>
        </w:rPr>
      </w:pPr>
      <w:r w:rsidRPr="009F7EB4">
        <w:rPr>
          <w:rFonts w:ascii="Arial" w:hAnsi="Arial" w:cs="Arial"/>
          <w:sz w:val="20"/>
          <w:szCs w:val="20"/>
        </w:rPr>
        <w:t>The data collected in February 2019 of the 6</w:t>
      </w:r>
      <w:r>
        <w:rPr>
          <w:rFonts w:ascii="Arial" w:hAnsi="Arial" w:cs="Arial"/>
          <w:sz w:val="20"/>
          <w:szCs w:val="20"/>
        </w:rPr>
        <w:t>2</w:t>
      </w:r>
      <w:r w:rsidRPr="009F7EB4">
        <w:rPr>
          <w:rFonts w:ascii="Arial" w:hAnsi="Arial" w:cs="Arial"/>
          <w:sz w:val="20"/>
          <w:szCs w:val="20"/>
        </w:rPr>
        <w:t xml:space="preserve"> </w:t>
      </w:r>
      <w:r>
        <w:rPr>
          <w:rFonts w:ascii="Arial" w:hAnsi="Arial" w:cs="Arial"/>
          <w:sz w:val="20"/>
          <w:szCs w:val="20"/>
        </w:rPr>
        <w:t xml:space="preserve">(excluding the one highest cost outlier) </w:t>
      </w:r>
      <w:r w:rsidRPr="009F7EB4">
        <w:rPr>
          <w:rFonts w:ascii="Arial" w:hAnsi="Arial" w:cs="Arial"/>
          <w:sz w:val="20"/>
          <w:szCs w:val="20"/>
        </w:rPr>
        <w:t xml:space="preserve">new TLED models </w:t>
      </w:r>
      <w:r>
        <w:rPr>
          <w:rFonts w:ascii="Arial" w:hAnsi="Arial" w:cs="Arial"/>
          <w:sz w:val="20"/>
          <w:szCs w:val="20"/>
        </w:rPr>
        <w:t>shows</w:t>
      </w:r>
      <w:r w:rsidRPr="009F7EB4">
        <w:rPr>
          <w:rFonts w:ascii="Arial" w:hAnsi="Arial" w:cs="Arial"/>
          <w:sz w:val="20"/>
          <w:szCs w:val="20"/>
        </w:rPr>
        <w:t xml:space="preserve"> </w:t>
      </w:r>
      <w:r>
        <w:rPr>
          <w:rFonts w:ascii="Arial" w:hAnsi="Arial" w:cs="Arial"/>
          <w:sz w:val="20"/>
          <w:szCs w:val="20"/>
        </w:rPr>
        <w:t>an</w:t>
      </w:r>
      <w:r w:rsidRPr="009F7EB4">
        <w:rPr>
          <w:rFonts w:ascii="Arial" w:hAnsi="Arial" w:cs="Arial"/>
          <w:sz w:val="20"/>
          <w:szCs w:val="20"/>
        </w:rPr>
        <w:t xml:space="preserve"> efficacy</w:t>
      </w:r>
      <w:r>
        <w:rPr>
          <w:rFonts w:ascii="Arial" w:hAnsi="Arial" w:cs="Arial"/>
          <w:sz w:val="20"/>
          <w:szCs w:val="20"/>
        </w:rPr>
        <w:t xml:space="preserve"> range of 100 to 160</w:t>
      </w:r>
      <w:r w:rsidRPr="009F7EB4">
        <w:rPr>
          <w:rFonts w:ascii="Arial" w:hAnsi="Arial" w:cs="Arial"/>
          <w:sz w:val="20"/>
          <w:szCs w:val="20"/>
        </w:rPr>
        <w:t xml:space="preserve"> </w:t>
      </w:r>
      <w:r>
        <w:rPr>
          <w:rFonts w:ascii="Arial" w:hAnsi="Arial" w:cs="Arial"/>
          <w:sz w:val="20"/>
          <w:szCs w:val="20"/>
        </w:rPr>
        <w:t>LP</w:t>
      </w:r>
      <w:r w:rsidRPr="009F7EB4">
        <w:rPr>
          <w:rFonts w:ascii="Arial" w:hAnsi="Arial" w:cs="Arial"/>
          <w:sz w:val="20"/>
          <w:szCs w:val="20"/>
        </w:rPr>
        <w:t>W.  Resolution E4952 states that the code/standard practices baseline assumes performance equal to the 25% percentile. The 25% percentile of the 6</w:t>
      </w:r>
      <w:r>
        <w:rPr>
          <w:rFonts w:ascii="Arial" w:hAnsi="Arial" w:cs="Arial"/>
          <w:sz w:val="20"/>
          <w:szCs w:val="20"/>
        </w:rPr>
        <w:t>2</w:t>
      </w:r>
      <w:r w:rsidRPr="009F7EB4">
        <w:rPr>
          <w:rFonts w:ascii="Arial" w:hAnsi="Arial" w:cs="Arial"/>
          <w:sz w:val="20"/>
          <w:szCs w:val="20"/>
        </w:rPr>
        <w:t xml:space="preserve"> TLED models is </w:t>
      </w:r>
      <w:r>
        <w:rPr>
          <w:rFonts w:ascii="Arial" w:hAnsi="Arial" w:cs="Arial"/>
          <w:sz w:val="20"/>
          <w:szCs w:val="20"/>
        </w:rPr>
        <w:t xml:space="preserve">calculated at </w:t>
      </w:r>
      <w:r w:rsidRPr="009F7EB4">
        <w:rPr>
          <w:rFonts w:ascii="Arial" w:hAnsi="Arial" w:cs="Arial"/>
          <w:sz w:val="20"/>
          <w:szCs w:val="20"/>
        </w:rPr>
        <w:t xml:space="preserve">111 </w:t>
      </w:r>
      <w:r>
        <w:rPr>
          <w:rFonts w:ascii="Arial" w:hAnsi="Arial" w:cs="Arial"/>
          <w:sz w:val="20"/>
          <w:szCs w:val="20"/>
        </w:rPr>
        <w:t>LP</w:t>
      </w:r>
      <w:r w:rsidRPr="009F7EB4">
        <w:rPr>
          <w:rFonts w:ascii="Arial" w:hAnsi="Arial" w:cs="Arial"/>
          <w:sz w:val="20"/>
          <w:szCs w:val="20"/>
        </w:rPr>
        <w:t xml:space="preserve">W (see attached file “Copy of TLED Cost Data_FEB2019.xlsx” for the calculation). Using the 111 </w:t>
      </w:r>
      <w:r>
        <w:rPr>
          <w:rFonts w:ascii="Arial" w:hAnsi="Arial" w:cs="Arial"/>
          <w:sz w:val="20"/>
          <w:szCs w:val="20"/>
        </w:rPr>
        <w:t>LPW</w:t>
      </w:r>
      <w:r w:rsidRPr="009F7EB4">
        <w:rPr>
          <w:rFonts w:ascii="Arial" w:hAnsi="Arial" w:cs="Arial"/>
          <w:sz w:val="20"/>
          <w:szCs w:val="20"/>
        </w:rPr>
        <w:t xml:space="preserve"> </w:t>
      </w:r>
      <w:proofErr w:type="gramStart"/>
      <w:r w:rsidRPr="009F7EB4">
        <w:rPr>
          <w:rFonts w:ascii="Arial" w:hAnsi="Arial" w:cs="Arial"/>
          <w:sz w:val="20"/>
          <w:szCs w:val="20"/>
        </w:rPr>
        <w:t>efficacy</w:t>
      </w:r>
      <w:proofErr w:type="gramEnd"/>
      <w:r w:rsidRPr="009F7EB4">
        <w:rPr>
          <w:rFonts w:ascii="Arial" w:hAnsi="Arial" w:cs="Arial"/>
          <w:sz w:val="20"/>
          <w:szCs w:val="20"/>
        </w:rPr>
        <w:t xml:space="preserve"> the TLED fixture efficacy is then calculated to be 85.2 </w:t>
      </w:r>
      <w:r>
        <w:rPr>
          <w:rFonts w:ascii="Arial" w:hAnsi="Arial" w:cs="Arial"/>
          <w:sz w:val="20"/>
          <w:szCs w:val="20"/>
        </w:rPr>
        <w:t>LP</w:t>
      </w:r>
      <w:r w:rsidRPr="009F7EB4">
        <w:rPr>
          <w:rFonts w:ascii="Arial" w:hAnsi="Arial" w:cs="Arial"/>
          <w:sz w:val="20"/>
          <w:szCs w:val="20"/>
        </w:rPr>
        <w:t xml:space="preserve">W (see attached file “PGECOLTG151 R9 LED Outdoor </w:t>
      </w:r>
      <w:proofErr w:type="spellStart"/>
      <w:r w:rsidRPr="009F7EB4">
        <w:rPr>
          <w:rFonts w:ascii="Arial" w:hAnsi="Arial" w:cs="Arial"/>
          <w:sz w:val="20"/>
          <w:szCs w:val="20"/>
        </w:rPr>
        <w:t>Ltg</w:t>
      </w:r>
      <w:proofErr w:type="spellEnd"/>
      <w:r w:rsidRPr="009F7EB4">
        <w:rPr>
          <w:rFonts w:ascii="Arial" w:hAnsi="Arial" w:cs="Arial"/>
          <w:sz w:val="20"/>
          <w:szCs w:val="20"/>
        </w:rPr>
        <w:t xml:space="preserve"> </w:t>
      </w:r>
      <w:proofErr w:type="spellStart"/>
      <w:r w:rsidRPr="009F7EB4">
        <w:rPr>
          <w:rFonts w:ascii="Arial" w:hAnsi="Arial" w:cs="Arial"/>
          <w:sz w:val="20"/>
          <w:szCs w:val="20"/>
        </w:rPr>
        <w:t>Calc</w:t>
      </w:r>
      <w:proofErr w:type="spellEnd"/>
      <w:r w:rsidRPr="009F7EB4">
        <w:rPr>
          <w:rFonts w:ascii="Arial" w:hAnsi="Arial" w:cs="Arial"/>
          <w:sz w:val="20"/>
          <w:szCs w:val="20"/>
        </w:rPr>
        <w:t>_ Rev 2.xlsx” for details of the calculation).</w:t>
      </w:r>
    </w:p>
    <w:p w14:paraId="59FB0CDB" w14:textId="77777777" w:rsidR="00E96638" w:rsidRDefault="00E96638" w:rsidP="00D10C84">
      <w:pPr>
        <w:rPr>
          <w:rFonts w:ascii="Arial" w:hAnsi="Arial" w:cs="Arial"/>
          <w:b/>
          <w:sz w:val="20"/>
          <w:szCs w:val="20"/>
        </w:rPr>
      </w:pPr>
    </w:p>
    <w:p w14:paraId="3CD0E713" w14:textId="06D8D4BF" w:rsidR="00D10C84" w:rsidRDefault="00D10C84" w:rsidP="00D10C84">
      <w:pPr>
        <w:rPr>
          <w:rFonts w:ascii="Arial" w:hAnsi="Arial" w:cs="Arial"/>
          <w:sz w:val="20"/>
          <w:szCs w:val="20"/>
        </w:rPr>
      </w:pPr>
      <w:r w:rsidRPr="00AA0317">
        <w:rPr>
          <w:rFonts w:ascii="Arial" w:hAnsi="Arial" w:cs="Arial"/>
          <w:b/>
          <w:sz w:val="20"/>
          <w:szCs w:val="20"/>
        </w:rPr>
        <w:t xml:space="preserve">LED </w:t>
      </w:r>
      <w:r>
        <w:rPr>
          <w:rFonts w:ascii="Arial" w:hAnsi="Arial" w:cs="Arial"/>
          <w:b/>
          <w:sz w:val="20"/>
          <w:szCs w:val="20"/>
        </w:rPr>
        <w:t>Measure</w:t>
      </w:r>
      <w:r w:rsidRPr="00AA0317">
        <w:rPr>
          <w:rFonts w:ascii="Arial" w:hAnsi="Arial" w:cs="Arial"/>
          <w:b/>
          <w:sz w:val="20"/>
          <w:szCs w:val="20"/>
        </w:rPr>
        <w:t xml:space="preserve"> Case Efficacy:</w:t>
      </w:r>
      <w:r>
        <w:rPr>
          <w:rFonts w:ascii="Arial" w:hAnsi="Arial" w:cs="Arial"/>
          <w:sz w:val="20"/>
          <w:szCs w:val="20"/>
        </w:rPr>
        <w:t xml:space="preserve"> </w:t>
      </w:r>
    </w:p>
    <w:p w14:paraId="0E61A47A" w14:textId="5AE82A06" w:rsidR="00D10C84" w:rsidRDefault="00D10C84" w:rsidP="006E3439">
      <w:pPr>
        <w:rPr>
          <w:rFonts w:ascii="Arial" w:hAnsi="Arial" w:cs="Arial"/>
          <w:sz w:val="20"/>
          <w:szCs w:val="20"/>
        </w:rPr>
      </w:pPr>
      <w:r>
        <w:rPr>
          <w:rFonts w:ascii="Arial" w:hAnsi="Arial" w:cs="Arial"/>
          <w:sz w:val="20"/>
          <w:szCs w:val="20"/>
        </w:rPr>
        <w:t xml:space="preserve">Measure case efficacy used was chosen after a comparison of two data sources: </w:t>
      </w:r>
      <w:proofErr w:type="spellStart"/>
      <w:r>
        <w:rPr>
          <w:rFonts w:ascii="Arial" w:hAnsi="Arial" w:cs="Arial"/>
          <w:sz w:val="20"/>
          <w:szCs w:val="20"/>
        </w:rPr>
        <w:t>LightingFacts</w:t>
      </w:r>
      <w:proofErr w:type="spellEnd"/>
      <w:r>
        <w:rPr>
          <w:rFonts w:ascii="Arial" w:hAnsi="Arial" w:cs="Arial"/>
          <w:sz w:val="20"/>
          <w:szCs w:val="20"/>
        </w:rPr>
        <w:t xml:space="preserve"> 50</w:t>
      </w:r>
      <w:r w:rsidRPr="00D10C84">
        <w:rPr>
          <w:rFonts w:ascii="Arial" w:hAnsi="Arial" w:cs="Arial"/>
          <w:sz w:val="20"/>
          <w:szCs w:val="20"/>
          <w:vertAlign w:val="superscript"/>
        </w:rPr>
        <w:t>th</w:t>
      </w:r>
      <w:r>
        <w:rPr>
          <w:rFonts w:ascii="Arial" w:hAnsi="Arial" w:cs="Arial"/>
          <w:sz w:val="20"/>
          <w:szCs w:val="20"/>
        </w:rPr>
        <w:t xml:space="preserve"> percentile efficacies and DLC Standard minimum efficacies. Base case efficacies chosen around the </w:t>
      </w:r>
      <w:proofErr w:type="spellStart"/>
      <w:r>
        <w:rPr>
          <w:rFonts w:ascii="Arial" w:hAnsi="Arial" w:cs="Arial"/>
          <w:sz w:val="20"/>
          <w:szCs w:val="20"/>
        </w:rPr>
        <w:t>LightingFacts</w:t>
      </w:r>
      <w:proofErr w:type="spellEnd"/>
      <w:r>
        <w:rPr>
          <w:rFonts w:ascii="Arial" w:hAnsi="Arial" w:cs="Arial"/>
          <w:sz w:val="20"/>
          <w:szCs w:val="20"/>
        </w:rPr>
        <w:t xml:space="preserve"> 50</w:t>
      </w:r>
      <w:r w:rsidRPr="00D10C84">
        <w:rPr>
          <w:rFonts w:ascii="Arial" w:hAnsi="Arial" w:cs="Arial"/>
          <w:sz w:val="20"/>
          <w:szCs w:val="20"/>
          <w:vertAlign w:val="superscript"/>
        </w:rPr>
        <w:t>th</w:t>
      </w:r>
      <w:r>
        <w:rPr>
          <w:rFonts w:ascii="Arial" w:hAnsi="Arial" w:cs="Arial"/>
          <w:sz w:val="20"/>
          <w:szCs w:val="20"/>
        </w:rPr>
        <w:t xml:space="preserve"> percentile are always higher than DLC Standard-tier minimum technical requirements (105LPW for version 4.3).</w:t>
      </w:r>
    </w:p>
    <w:p w14:paraId="19F21F00" w14:textId="77777777" w:rsidR="00991426" w:rsidRPr="00CD3B08" w:rsidRDefault="00991426" w:rsidP="00991426">
      <w:pPr>
        <w:jc w:val="both"/>
        <w:rPr>
          <w:rFonts w:ascii="Arial" w:hAnsi="Arial" w:cs="Arial"/>
          <w:sz w:val="20"/>
        </w:rPr>
      </w:pPr>
    </w:p>
    <w:p w14:paraId="789C0349" w14:textId="01F6C3E9" w:rsidR="00991426" w:rsidRPr="002245D6" w:rsidRDefault="00991426" w:rsidP="00991426">
      <w:pPr>
        <w:pStyle w:val="Heading3"/>
      </w:pPr>
      <w:bookmarkStart w:id="123" w:name="_Toc2804920"/>
      <w:r>
        <w:t>2.0.3 Measure Structure</w:t>
      </w:r>
      <w:bookmarkEnd w:id="123"/>
    </w:p>
    <w:p w14:paraId="1EE4797C" w14:textId="32167AF3" w:rsidR="00991426" w:rsidRDefault="007E059E" w:rsidP="00991426">
      <w:pPr>
        <w:rPr>
          <w:rFonts w:ascii="Arial" w:hAnsi="Arial" w:cs="Arial"/>
          <w:sz w:val="20"/>
          <w:szCs w:val="20"/>
        </w:rPr>
      </w:pPr>
      <w:r>
        <w:rPr>
          <w:rFonts w:ascii="Arial" w:hAnsi="Arial" w:cs="Arial"/>
          <w:sz w:val="20"/>
          <w:szCs w:val="20"/>
        </w:rPr>
        <w:t xml:space="preserve">The measure structure </w:t>
      </w:r>
      <w:r w:rsidR="00991426">
        <w:rPr>
          <w:rFonts w:ascii="Arial" w:hAnsi="Arial" w:cs="Arial"/>
          <w:sz w:val="20"/>
          <w:szCs w:val="20"/>
        </w:rPr>
        <w:t>has been chan</w:t>
      </w:r>
      <w:r w:rsidR="004C543B">
        <w:rPr>
          <w:rFonts w:ascii="Arial" w:hAnsi="Arial" w:cs="Arial"/>
          <w:sz w:val="20"/>
          <w:szCs w:val="20"/>
        </w:rPr>
        <w:t>g</w:t>
      </w:r>
      <w:r w:rsidR="00991426">
        <w:rPr>
          <w:rFonts w:ascii="Arial" w:hAnsi="Arial" w:cs="Arial"/>
          <w:sz w:val="20"/>
          <w:szCs w:val="20"/>
        </w:rPr>
        <w:t xml:space="preserve">ed to lumen bins, from </w:t>
      </w:r>
      <w:r>
        <w:rPr>
          <w:rFonts w:ascii="Arial" w:hAnsi="Arial" w:cs="Arial"/>
          <w:sz w:val="20"/>
          <w:szCs w:val="20"/>
        </w:rPr>
        <w:t>the wattage bin structur</w:t>
      </w:r>
      <w:r w:rsidR="00991426">
        <w:rPr>
          <w:rFonts w:ascii="Arial" w:hAnsi="Arial" w:cs="Arial"/>
          <w:sz w:val="20"/>
          <w:szCs w:val="20"/>
        </w:rPr>
        <w:t>e</w:t>
      </w:r>
      <w:r>
        <w:rPr>
          <w:rFonts w:ascii="Arial" w:hAnsi="Arial" w:cs="Arial"/>
          <w:sz w:val="20"/>
          <w:szCs w:val="20"/>
        </w:rPr>
        <w:t xml:space="preserve"> </w:t>
      </w:r>
      <w:r w:rsidR="00991426">
        <w:rPr>
          <w:rFonts w:ascii="Arial" w:hAnsi="Arial" w:cs="Arial"/>
          <w:sz w:val="20"/>
          <w:szCs w:val="20"/>
        </w:rPr>
        <w:t xml:space="preserve">of </w:t>
      </w:r>
      <w:r>
        <w:rPr>
          <w:rFonts w:ascii="Arial" w:hAnsi="Arial" w:cs="Arial"/>
          <w:sz w:val="20"/>
          <w:szCs w:val="20"/>
        </w:rPr>
        <w:t>the previous revision (</w:t>
      </w:r>
      <w:r w:rsidRPr="007E059E">
        <w:rPr>
          <w:rFonts w:ascii="Arial" w:hAnsi="Arial" w:cs="Arial"/>
          <w:sz w:val="20"/>
          <w:szCs w:val="20"/>
        </w:rPr>
        <w:t>R</w:t>
      </w:r>
      <w:r w:rsidR="00991426">
        <w:rPr>
          <w:rFonts w:ascii="Arial" w:hAnsi="Arial" w:cs="Arial"/>
          <w:sz w:val="20"/>
          <w:szCs w:val="20"/>
        </w:rPr>
        <w:t>3</w:t>
      </w:r>
      <w:r w:rsidRPr="007E059E">
        <w:rPr>
          <w:rFonts w:ascii="Arial" w:hAnsi="Arial" w:cs="Arial"/>
          <w:sz w:val="20"/>
          <w:szCs w:val="20"/>
        </w:rPr>
        <w:t xml:space="preserve">) of the workpaper.  </w:t>
      </w:r>
    </w:p>
    <w:p w14:paraId="0CFDA640" w14:textId="77777777" w:rsidR="00991426" w:rsidRDefault="00991426" w:rsidP="00991426">
      <w:pPr>
        <w:rPr>
          <w:rFonts w:ascii="Arial" w:hAnsi="Arial" w:cs="Arial"/>
          <w:sz w:val="20"/>
          <w:szCs w:val="20"/>
        </w:rPr>
      </w:pPr>
      <w:bookmarkStart w:id="124" w:name="_Hlk533606032"/>
    </w:p>
    <w:p w14:paraId="10D9BCE1" w14:textId="79DFAD41" w:rsidR="00991426" w:rsidRDefault="00991426" w:rsidP="00991426">
      <w:pPr>
        <w:rPr>
          <w:rFonts w:ascii="Arial" w:hAnsi="Arial" w:cs="Arial"/>
          <w:sz w:val="20"/>
          <w:szCs w:val="20"/>
        </w:rPr>
      </w:pPr>
      <w:r w:rsidRPr="00D154B6">
        <w:rPr>
          <w:rFonts w:ascii="Arial" w:hAnsi="Arial" w:cs="Arial"/>
          <w:sz w:val="20"/>
          <w:szCs w:val="20"/>
        </w:rPr>
        <w:t xml:space="preserve">Although the lumen ranges are used on the back-end to match measure case solutions to base case products, as the industry shifts towards LED technologies, referencing solutions by wattages becomes outdated. Older incumbent technologies were referred to by wattages and not light output by the industry because the efficacies (lumens per watt, LPW) of these products were constant within the technology for a given light output and the level of service was understood through the wattage they consumed. With LEDs, products that provide a given light output are available along the entire efficacy &amp; wattage spectrum. </w:t>
      </w:r>
    </w:p>
    <w:p w14:paraId="150685CF" w14:textId="77777777" w:rsidR="00991426" w:rsidRPr="00D154B6" w:rsidRDefault="00991426" w:rsidP="00991426">
      <w:pPr>
        <w:rPr>
          <w:rFonts w:ascii="Arial" w:hAnsi="Arial" w:cs="Arial"/>
          <w:sz w:val="20"/>
          <w:szCs w:val="20"/>
        </w:rPr>
      </w:pPr>
    </w:p>
    <w:p w14:paraId="0C2FB32C" w14:textId="36481EF5" w:rsidR="00991426" w:rsidRDefault="00991426" w:rsidP="00991426">
      <w:pPr>
        <w:rPr>
          <w:rFonts w:ascii="Arial" w:hAnsi="Arial" w:cs="Arial"/>
          <w:sz w:val="20"/>
          <w:szCs w:val="20"/>
        </w:rPr>
      </w:pPr>
      <w:r w:rsidRPr="00D154B6">
        <w:rPr>
          <w:rFonts w:ascii="Arial" w:hAnsi="Arial" w:cs="Arial"/>
          <w:sz w:val="20"/>
          <w:szCs w:val="20"/>
        </w:rPr>
        <w:t xml:space="preserve">When comparing an equivalent measure case product to the base case, using lumens is much more straightforward. Customers now speak about LED products’ level of service in terms of lumens rather than watts. To match this shift in technology and industry communication &amp; make it easier for customers </w:t>
      </w:r>
      <w:r w:rsidRPr="00D154B6">
        <w:rPr>
          <w:rFonts w:ascii="Arial" w:hAnsi="Arial" w:cs="Arial"/>
          <w:sz w:val="20"/>
          <w:szCs w:val="20"/>
        </w:rPr>
        <w:lastRenderedPageBreak/>
        <w:t xml:space="preserve">to choose the right measure, PG&amp;E proposes changing the workpaper measure structure to lumen bins rather than wattage bins. </w:t>
      </w:r>
    </w:p>
    <w:p w14:paraId="07D85ECB" w14:textId="77777777" w:rsidR="00991426" w:rsidRPr="00D154B6" w:rsidRDefault="00991426" w:rsidP="00991426">
      <w:pPr>
        <w:rPr>
          <w:rFonts w:ascii="Arial" w:hAnsi="Arial" w:cs="Arial"/>
          <w:sz w:val="20"/>
          <w:szCs w:val="20"/>
        </w:rPr>
      </w:pPr>
    </w:p>
    <w:p w14:paraId="1CF951A3" w14:textId="6822D7FF" w:rsidR="00991426" w:rsidRPr="00D154B6" w:rsidRDefault="00991426" w:rsidP="00991426">
      <w:pPr>
        <w:rPr>
          <w:rFonts w:ascii="Arial" w:hAnsi="Arial" w:cs="Arial"/>
          <w:sz w:val="20"/>
          <w:szCs w:val="20"/>
        </w:rPr>
      </w:pPr>
      <w:r w:rsidRPr="00D154B6">
        <w:rPr>
          <w:rFonts w:ascii="Arial" w:hAnsi="Arial" w:cs="Arial"/>
          <w:sz w:val="20"/>
          <w:szCs w:val="20"/>
        </w:rPr>
        <w:t>The challenges with the wattage range methodology as the technology shifts to LED is further explained in the 2015 California Workpaper Update Study conducted by Navigant</w:t>
      </w:r>
      <w:proofErr w:type="gramStart"/>
      <w:r w:rsidRPr="00D154B6">
        <w:rPr>
          <w:rFonts w:ascii="Arial" w:hAnsi="Arial" w:cs="Arial"/>
          <w:sz w:val="20"/>
          <w:szCs w:val="20"/>
        </w:rPr>
        <w:t>:</w:t>
      </w:r>
      <w:proofErr w:type="gramEnd"/>
      <w:r w:rsidRPr="00D154B6">
        <w:rPr>
          <w:rFonts w:ascii="Arial" w:hAnsi="Arial" w:cs="Arial"/>
          <w:sz w:val="20"/>
          <w:szCs w:val="20"/>
          <w:vertAlign w:val="superscript"/>
        </w:rPr>
        <w:fldChar w:fldCharType="begin"/>
      </w:r>
      <w:r w:rsidRPr="00D154B6">
        <w:rPr>
          <w:rFonts w:ascii="Arial" w:hAnsi="Arial" w:cs="Arial"/>
          <w:sz w:val="20"/>
          <w:szCs w:val="20"/>
          <w:vertAlign w:val="superscript"/>
        </w:rPr>
        <w:instrText xml:space="preserve"> NOTEREF _Ref533747299 \h </w:instrText>
      </w:r>
      <w:r>
        <w:rPr>
          <w:rFonts w:ascii="Arial" w:hAnsi="Arial" w:cs="Arial"/>
          <w:sz w:val="20"/>
          <w:szCs w:val="20"/>
          <w:vertAlign w:val="superscript"/>
        </w:rPr>
        <w:instrText xml:space="preserve"> \* MERGEFORMAT </w:instrText>
      </w:r>
      <w:r w:rsidRPr="00D154B6">
        <w:rPr>
          <w:rFonts w:ascii="Arial" w:hAnsi="Arial" w:cs="Arial"/>
          <w:sz w:val="20"/>
          <w:szCs w:val="20"/>
          <w:vertAlign w:val="superscript"/>
        </w:rPr>
      </w:r>
      <w:r w:rsidRPr="00D154B6">
        <w:rPr>
          <w:rFonts w:ascii="Arial" w:hAnsi="Arial" w:cs="Arial"/>
          <w:sz w:val="20"/>
          <w:szCs w:val="20"/>
          <w:vertAlign w:val="superscript"/>
        </w:rPr>
        <w:fldChar w:fldCharType="separate"/>
      </w:r>
      <w:r w:rsidRPr="00D154B6">
        <w:rPr>
          <w:rFonts w:ascii="Arial" w:hAnsi="Arial" w:cs="Arial"/>
          <w:sz w:val="20"/>
          <w:szCs w:val="20"/>
          <w:vertAlign w:val="superscript"/>
        </w:rPr>
        <w:t>10</w:t>
      </w:r>
      <w:r w:rsidRPr="00D154B6">
        <w:rPr>
          <w:rFonts w:ascii="Arial" w:hAnsi="Arial" w:cs="Arial"/>
          <w:sz w:val="20"/>
          <w:szCs w:val="20"/>
          <w:vertAlign w:val="superscript"/>
        </w:rPr>
        <w:fldChar w:fldCharType="end"/>
      </w:r>
    </w:p>
    <w:p w14:paraId="23BDABF7" w14:textId="77777777" w:rsidR="00991426" w:rsidRPr="00D154B6" w:rsidRDefault="00991426" w:rsidP="00991426">
      <w:pPr>
        <w:rPr>
          <w:rFonts w:ascii="Arial" w:hAnsi="Arial" w:cs="Arial"/>
          <w:bCs/>
          <w:sz w:val="20"/>
          <w:szCs w:val="20"/>
        </w:rPr>
      </w:pPr>
    </w:p>
    <w:p w14:paraId="3E7ADCBA" w14:textId="69211B7A" w:rsidR="00991426" w:rsidRPr="00E35C1C" w:rsidRDefault="00991426" w:rsidP="00D154B6">
      <w:pPr>
        <w:autoSpaceDE w:val="0"/>
        <w:autoSpaceDN w:val="0"/>
        <w:adjustRightInd w:val="0"/>
        <w:ind w:left="720"/>
        <w:rPr>
          <w:rFonts w:ascii="Arial" w:hAnsi="Arial" w:cs="Arial"/>
          <w:i/>
          <w:sz w:val="20"/>
          <w:szCs w:val="20"/>
        </w:rPr>
      </w:pPr>
      <w:r w:rsidRPr="00D154B6">
        <w:rPr>
          <w:rFonts w:ascii="Arial" w:hAnsi="Arial" w:cs="Arial"/>
          <w:i/>
          <w:sz w:val="20"/>
          <w:szCs w:val="20"/>
        </w:rPr>
        <w:t>“The original CA lighting disposition used the baseline wattages to bin lighting fixture categories. This technique is effective for capturing the baseline of older technologies, especially considering the explicit goal of determining what efficient wattage will replace the existing inefficient wattage. This follows the logic of a wattage range calculation, the goal being to determine the difference between the initial and final wattage.</w:t>
      </w:r>
    </w:p>
    <w:p w14:paraId="3627F655" w14:textId="77777777" w:rsidR="00991426" w:rsidRPr="00D154B6" w:rsidRDefault="00991426" w:rsidP="00D154B6">
      <w:pPr>
        <w:autoSpaceDE w:val="0"/>
        <w:autoSpaceDN w:val="0"/>
        <w:adjustRightInd w:val="0"/>
        <w:ind w:left="720"/>
        <w:rPr>
          <w:rFonts w:ascii="Arial" w:hAnsi="Arial" w:cs="Arial"/>
          <w:i/>
          <w:sz w:val="20"/>
          <w:szCs w:val="20"/>
        </w:rPr>
      </w:pPr>
    </w:p>
    <w:p w14:paraId="0A7295AE" w14:textId="32790E29" w:rsidR="00991426" w:rsidRPr="00D154B6" w:rsidRDefault="00991426" w:rsidP="00D154B6">
      <w:pPr>
        <w:autoSpaceDE w:val="0"/>
        <w:autoSpaceDN w:val="0"/>
        <w:adjustRightInd w:val="0"/>
        <w:ind w:left="720"/>
        <w:rPr>
          <w:rFonts w:ascii="Arial" w:hAnsi="Arial" w:cs="Arial"/>
          <w:i/>
          <w:sz w:val="20"/>
          <w:szCs w:val="20"/>
        </w:rPr>
      </w:pPr>
      <w:r w:rsidRPr="00D154B6">
        <w:rPr>
          <w:rFonts w:ascii="Arial" w:hAnsi="Arial" w:cs="Arial"/>
          <w:i/>
          <w:sz w:val="20"/>
          <w:szCs w:val="20"/>
        </w:rPr>
        <w:t xml:space="preserve">In practice, the initial wattages of the bay fixtures existed over a wide range of values but </w:t>
      </w:r>
      <w:r w:rsidRPr="00D154B6">
        <w:rPr>
          <w:rFonts w:ascii="Arial" w:eastAsia="Calibri" w:hAnsi="Arial" w:cs="Arial"/>
          <w:i/>
          <w:sz w:val="20"/>
          <w:szCs w:val="20"/>
        </w:rPr>
        <w:tab/>
      </w:r>
      <w:r w:rsidRPr="00D154B6">
        <w:rPr>
          <w:rFonts w:ascii="Arial" w:hAnsi="Arial" w:cs="Arial"/>
          <w:i/>
          <w:sz w:val="20"/>
          <w:szCs w:val="20"/>
        </w:rPr>
        <w:t xml:space="preserve">the LED responses were contained in a small range. This aspect makes it difficult to create wattage bins based on LED alternatives. It is not possible to accurately measure the savings of a certain LED replacement if it could be replacing a wide range of </w:t>
      </w:r>
      <w:r w:rsidRPr="00D154B6">
        <w:rPr>
          <w:rFonts w:ascii="Arial" w:eastAsia="Calibri" w:hAnsi="Arial" w:cs="Arial"/>
          <w:i/>
          <w:sz w:val="20"/>
          <w:szCs w:val="20"/>
        </w:rPr>
        <w:tab/>
      </w:r>
      <w:r w:rsidRPr="00D154B6">
        <w:rPr>
          <w:rFonts w:ascii="Arial" w:hAnsi="Arial" w:cs="Arial"/>
          <w:i/>
          <w:sz w:val="20"/>
          <w:szCs w:val="20"/>
        </w:rPr>
        <w:t>baseline fixtures.”</w:t>
      </w:r>
    </w:p>
    <w:p w14:paraId="68E4D9F9" w14:textId="77777777" w:rsidR="00991426" w:rsidRPr="00D154B6" w:rsidRDefault="00991426" w:rsidP="00991426">
      <w:pPr>
        <w:rPr>
          <w:rFonts w:ascii="Arial" w:hAnsi="Arial" w:cs="Arial"/>
          <w:bCs/>
          <w:sz w:val="20"/>
          <w:szCs w:val="20"/>
        </w:rPr>
      </w:pPr>
    </w:p>
    <w:p w14:paraId="2E8B1447" w14:textId="77777777" w:rsidR="00991426" w:rsidRPr="00D154B6" w:rsidRDefault="00991426" w:rsidP="00991426">
      <w:pPr>
        <w:rPr>
          <w:rFonts w:ascii="Arial" w:hAnsi="Arial" w:cs="Arial"/>
          <w:sz w:val="20"/>
          <w:szCs w:val="20"/>
        </w:rPr>
      </w:pPr>
      <w:r w:rsidRPr="00D154B6">
        <w:rPr>
          <w:rFonts w:ascii="Arial" w:hAnsi="Arial" w:cs="Arial"/>
          <w:sz w:val="20"/>
          <w:szCs w:val="20"/>
        </w:rPr>
        <w:t xml:space="preserve">The benefit of the lumen bin methodology is illustrated below. When comparing Tier 1 measure codes to Tier 2 measure codes, it is immediately obvious that a product in the 5,400 – 6,499 lumen range within the Tier 1 efficacy range of 110 – 129 LPW provides equivalent service to a product in the same lumen range with Tier 2 efficacy of 130+ LPW. Under the wattage bin structure in the current workpaper, it is much less obvious that 48W – 71W Tier 1 products are equivalent to 42W – 60W Tier 2 products. </w:t>
      </w:r>
    </w:p>
    <w:p w14:paraId="2895B412" w14:textId="77777777" w:rsidR="00991426" w:rsidRPr="00D154B6" w:rsidRDefault="00991426" w:rsidP="00991426">
      <w:pPr>
        <w:rPr>
          <w:rFonts w:ascii="Arial" w:hAnsi="Arial" w:cs="Arial"/>
          <w:i/>
          <w:iCs/>
          <w:color w:val="1F487C"/>
          <w:sz w:val="20"/>
          <w:szCs w:val="20"/>
        </w:rPr>
      </w:pPr>
    </w:p>
    <w:p w14:paraId="12C9B5AD" w14:textId="7BB13B6E" w:rsidR="007D2501" w:rsidRDefault="007D2501" w:rsidP="00AC48FA">
      <w:pPr>
        <w:pStyle w:val="Caption"/>
        <w:keepNext/>
        <w:jc w:val="center"/>
      </w:pPr>
      <w:bookmarkStart w:id="125" w:name="_Toc2804943"/>
      <w:r>
        <w:t xml:space="preserve">Table </w:t>
      </w:r>
      <w:fldSimple w:instr=" SEQ Table \* ARABIC ">
        <w:r>
          <w:rPr>
            <w:noProof/>
          </w:rPr>
          <w:t>1</w:t>
        </w:r>
      </w:fldSimple>
      <w:r w:rsidR="004C5579">
        <w:t>2</w:t>
      </w:r>
      <w:r>
        <w:t xml:space="preserve"> </w:t>
      </w:r>
      <w:r w:rsidRPr="008F639E">
        <w:t>Wattage Bin Method (</w:t>
      </w:r>
      <w:r>
        <w:t>Previous</w:t>
      </w:r>
      <w:r w:rsidRPr="008F639E">
        <w:t>)</w:t>
      </w:r>
      <w:bookmarkEnd w:id="1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1049"/>
        <w:gridCol w:w="1003"/>
        <w:gridCol w:w="1003"/>
        <w:gridCol w:w="1049"/>
        <w:gridCol w:w="1049"/>
        <w:gridCol w:w="1049"/>
        <w:gridCol w:w="1049"/>
        <w:gridCol w:w="1049"/>
      </w:tblGrid>
      <w:tr w:rsidR="009F14ED" w:rsidRPr="00E35C1C" w14:paraId="77C71327" w14:textId="77777777" w:rsidTr="00E35C1C">
        <w:tc>
          <w:tcPr>
            <w:tcW w:w="1050" w:type="dxa"/>
            <w:shd w:val="clear" w:color="auto" w:fill="auto"/>
          </w:tcPr>
          <w:p w14:paraId="6D7350DB" w14:textId="77777777" w:rsidR="00991426" w:rsidRPr="00E35C1C" w:rsidRDefault="00991426" w:rsidP="00CA0D3D">
            <w:pPr>
              <w:rPr>
                <w:rFonts w:ascii="Arial" w:hAnsi="Arial" w:cs="Arial"/>
                <w:sz w:val="20"/>
                <w:szCs w:val="20"/>
              </w:rPr>
            </w:pPr>
            <w:r w:rsidRPr="00E35C1C">
              <w:rPr>
                <w:rFonts w:ascii="Arial" w:hAnsi="Arial" w:cs="Arial"/>
                <w:sz w:val="20"/>
                <w:szCs w:val="20"/>
              </w:rPr>
              <w:t>Measure Code</w:t>
            </w:r>
          </w:p>
        </w:tc>
        <w:tc>
          <w:tcPr>
            <w:tcW w:w="1049" w:type="dxa"/>
            <w:shd w:val="clear" w:color="auto" w:fill="auto"/>
          </w:tcPr>
          <w:p w14:paraId="7BF1DF0F" w14:textId="77777777" w:rsidR="00991426" w:rsidRPr="00E35C1C" w:rsidRDefault="00991426" w:rsidP="00CA0D3D">
            <w:pPr>
              <w:rPr>
                <w:rFonts w:ascii="Arial" w:hAnsi="Arial" w:cs="Arial"/>
                <w:sz w:val="20"/>
                <w:szCs w:val="20"/>
              </w:rPr>
            </w:pPr>
            <w:r w:rsidRPr="00E35C1C">
              <w:rPr>
                <w:rFonts w:ascii="Arial" w:hAnsi="Arial" w:cs="Arial"/>
                <w:sz w:val="20"/>
                <w:szCs w:val="20"/>
              </w:rPr>
              <w:t>Measure Case Tier</w:t>
            </w:r>
          </w:p>
        </w:tc>
        <w:tc>
          <w:tcPr>
            <w:tcW w:w="1003" w:type="dxa"/>
            <w:shd w:val="clear" w:color="auto" w:fill="auto"/>
          </w:tcPr>
          <w:p w14:paraId="09074C3F" w14:textId="77777777" w:rsidR="00991426" w:rsidRPr="00E35C1C" w:rsidRDefault="00991426" w:rsidP="00CA0D3D">
            <w:pPr>
              <w:rPr>
                <w:rFonts w:ascii="Arial" w:hAnsi="Arial" w:cs="Arial"/>
                <w:sz w:val="20"/>
                <w:szCs w:val="20"/>
              </w:rPr>
            </w:pPr>
            <w:r w:rsidRPr="00E35C1C">
              <w:rPr>
                <w:rFonts w:ascii="Arial" w:hAnsi="Arial" w:cs="Arial"/>
                <w:sz w:val="20"/>
                <w:szCs w:val="20"/>
              </w:rPr>
              <w:t>Blended Base Case Watts</w:t>
            </w:r>
          </w:p>
        </w:tc>
        <w:tc>
          <w:tcPr>
            <w:tcW w:w="1003" w:type="dxa"/>
            <w:shd w:val="clear" w:color="auto" w:fill="auto"/>
          </w:tcPr>
          <w:p w14:paraId="7804C1DC" w14:textId="77777777" w:rsidR="00991426" w:rsidRPr="00E35C1C" w:rsidRDefault="00991426" w:rsidP="00CA0D3D">
            <w:pPr>
              <w:rPr>
                <w:rFonts w:ascii="Arial" w:hAnsi="Arial" w:cs="Arial"/>
                <w:sz w:val="20"/>
                <w:szCs w:val="20"/>
              </w:rPr>
            </w:pPr>
            <w:r w:rsidRPr="00E35C1C">
              <w:rPr>
                <w:rFonts w:ascii="Arial" w:hAnsi="Arial" w:cs="Arial"/>
                <w:sz w:val="20"/>
                <w:szCs w:val="20"/>
              </w:rPr>
              <w:t>Blended Base Case Efficacy</w:t>
            </w:r>
          </w:p>
        </w:tc>
        <w:tc>
          <w:tcPr>
            <w:tcW w:w="1049" w:type="dxa"/>
            <w:shd w:val="clear" w:color="auto" w:fill="auto"/>
          </w:tcPr>
          <w:p w14:paraId="698DFEDE" w14:textId="77777777" w:rsidR="00991426" w:rsidRPr="00E35C1C" w:rsidRDefault="00991426" w:rsidP="00CA0D3D">
            <w:pPr>
              <w:rPr>
                <w:rFonts w:ascii="Arial" w:hAnsi="Arial" w:cs="Arial"/>
                <w:sz w:val="20"/>
                <w:szCs w:val="20"/>
              </w:rPr>
            </w:pPr>
            <w:r w:rsidRPr="00E35C1C">
              <w:rPr>
                <w:rFonts w:ascii="Arial" w:hAnsi="Arial" w:cs="Arial"/>
                <w:sz w:val="20"/>
                <w:szCs w:val="20"/>
              </w:rPr>
              <w:t>Measure Case Efficacy Floor (LPW)</w:t>
            </w:r>
          </w:p>
        </w:tc>
        <w:tc>
          <w:tcPr>
            <w:tcW w:w="1049" w:type="dxa"/>
            <w:shd w:val="clear" w:color="auto" w:fill="auto"/>
          </w:tcPr>
          <w:p w14:paraId="077784DC" w14:textId="77777777" w:rsidR="00991426" w:rsidRPr="00E35C1C" w:rsidRDefault="00991426" w:rsidP="00CA0D3D">
            <w:pPr>
              <w:rPr>
                <w:rFonts w:ascii="Arial" w:hAnsi="Arial" w:cs="Arial"/>
                <w:sz w:val="20"/>
                <w:szCs w:val="20"/>
              </w:rPr>
            </w:pPr>
            <w:r w:rsidRPr="00E35C1C">
              <w:rPr>
                <w:rFonts w:ascii="Arial" w:hAnsi="Arial" w:cs="Arial"/>
                <w:sz w:val="20"/>
                <w:szCs w:val="20"/>
              </w:rPr>
              <w:t>Measure Case Wattage (min)</w:t>
            </w:r>
          </w:p>
        </w:tc>
        <w:tc>
          <w:tcPr>
            <w:tcW w:w="1049" w:type="dxa"/>
            <w:shd w:val="clear" w:color="auto" w:fill="auto"/>
          </w:tcPr>
          <w:p w14:paraId="0F30A937" w14:textId="77777777" w:rsidR="00991426" w:rsidRPr="00E35C1C" w:rsidRDefault="00991426" w:rsidP="00CA0D3D">
            <w:pPr>
              <w:rPr>
                <w:rFonts w:ascii="Arial" w:hAnsi="Arial" w:cs="Arial"/>
                <w:sz w:val="20"/>
                <w:szCs w:val="20"/>
              </w:rPr>
            </w:pPr>
            <w:r w:rsidRPr="00E35C1C">
              <w:rPr>
                <w:rFonts w:ascii="Arial" w:hAnsi="Arial" w:cs="Arial"/>
                <w:sz w:val="20"/>
                <w:szCs w:val="20"/>
              </w:rPr>
              <w:t>Measure Case Wattage (max)</w:t>
            </w:r>
          </w:p>
        </w:tc>
        <w:tc>
          <w:tcPr>
            <w:tcW w:w="1049" w:type="dxa"/>
            <w:shd w:val="clear" w:color="auto" w:fill="auto"/>
          </w:tcPr>
          <w:p w14:paraId="58D86CC9" w14:textId="77777777" w:rsidR="00991426" w:rsidRPr="00E35C1C" w:rsidRDefault="00991426" w:rsidP="00CA0D3D">
            <w:pPr>
              <w:rPr>
                <w:rFonts w:ascii="Arial" w:hAnsi="Arial" w:cs="Arial"/>
                <w:sz w:val="20"/>
                <w:szCs w:val="20"/>
              </w:rPr>
            </w:pPr>
            <w:r w:rsidRPr="00E35C1C">
              <w:rPr>
                <w:rFonts w:ascii="Arial" w:hAnsi="Arial" w:cs="Arial"/>
                <w:sz w:val="20"/>
                <w:szCs w:val="20"/>
              </w:rPr>
              <w:t>Measure Case Lumens (min)</w:t>
            </w:r>
          </w:p>
        </w:tc>
        <w:tc>
          <w:tcPr>
            <w:tcW w:w="1049" w:type="dxa"/>
            <w:shd w:val="clear" w:color="auto" w:fill="auto"/>
          </w:tcPr>
          <w:p w14:paraId="01D231A4" w14:textId="77777777" w:rsidR="00991426" w:rsidRPr="00E35C1C" w:rsidRDefault="00991426" w:rsidP="00CA0D3D">
            <w:pPr>
              <w:rPr>
                <w:rFonts w:ascii="Arial" w:hAnsi="Arial" w:cs="Arial"/>
                <w:sz w:val="20"/>
                <w:szCs w:val="20"/>
              </w:rPr>
            </w:pPr>
            <w:r w:rsidRPr="00E35C1C">
              <w:rPr>
                <w:rFonts w:ascii="Arial" w:hAnsi="Arial" w:cs="Arial"/>
                <w:sz w:val="20"/>
                <w:szCs w:val="20"/>
              </w:rPr>
              <w:t>Measure Case Lumens (max)</w:t>
            </w:r>
          </w:p>
        </w:tc>
      </w:tr>
      <w:tr w:rsidR="009F14ED" w:rsidRPr="00E35C1C" w14:paraId="5902FC1B" w14:textId="77777777" w:rsidTr="00E35C1C">
        <w:tc>
          <w:tcPr>
            <w:tcW w:w="1050" w:type="dxa"/>
            <w:tcBorders>
              <w:bottom w:val="single" w:sz="2" w:space="0" w:color="auto"/>
            </w:tcBorders>
            <w:shd w:val="clear" w:color="auto" w:fill="auto"/>
          </w:tcPr>
          <w:p w14:paraId="2B36B050" w14:textId="77777777" w:rsidR="00991426" w:rsidRPr="00E35C1C" w:rsidRDefault="00991426" w:rsidP="00CA0D3D">
            <w:pPr>
              <w:rPr>
                <w:rFonts w:ascii="Arial" w:hAnsi="Arial" w:cs="Arial"/>
                <w:sz w:val="20"/>
                <w:szCs w:val="20"/>
              </w:rPr>
            </w:pPr>
            <w:r w:rsidRPr="00E35C1C">
              <w:rPr>
                <w:rFonts w:ascii="Arial" w:hAnsi="Arial" w:cs="Arial"/>
                <w:sz w:val="20"/>
                <w:szCs w:val="20"/>
              </w:rPr>
              <w:t>LT376</w:t>
            </w:r>
          </w:p>
        </w:tc>
        <w:tc>
          <w:tcPr>
            <w:tcW w:w="1049" w:type="dxa"/>
            <w:tcBorders>
              <w:bottom w:val="single" w:sz="2" w:space="0" w:color="auto"/>
            </w:tcBorders>
            <w:shd w:val="clear" w:color="auto" w:fill="auto"/>
          </w:tcPr>
          <w:p w14:paraId="6C16C241" w14:textId="77777777" w:rsidR="00991426" w:rsidRPr="00E35C1C" w:rsidRDefault="00991426" w:rsidP="00CA0D3D">
            <w:pPr>
              <w:rPr>
                <w:rFonts w:ascii="Arial" w:hAnsi="Arial" w:cs="Arial"/>
                <w:sz w:val="20"/>
                <w:szCs w:val="20"/>
              </w:rPr>
            </w:pPr>
            <w:r w:rsidRPr="00E35C1C">
              <w:rPr>
                <w:rFonts w:ascii="Arial" w:hAnsi="Arial" w:cs="Arial"/>
                <w:sz w:val="20"/>
                <w:szCs w:val="20"/>
              </w:rPr>
              <w:t>Tier 1</w:t>
            </w:r>
          </w:p>
        </w:tc>
        <w:tc>
          <w:tcPr>
            <w:tcW w:w="1003" w:type="dxa"/>
            <w:tcBorders>
              <w:bottom w:val="single" w:sz="2" w:space="0" w:color="auto"/>
            </w:tcBorders>
            <w:shd w:val="clear" w:color="auto" w:fill="auto"/>
          </w:tcPr>
          <w:p w14:paraId="4027259C" w14:textId="77777777" w:rsidR="00991426" w:rsidRPr="00E35C1C" w:rsidRDefault="00991426" w:rsidP="00CA0D3D">
            <w:pPr>
              <w:rPr>
                <w:rFonts w:ascii="Arial" w:hAnsi="Arial" w:cs="Arial"/>
                <w:sz w:val="20"/>
                <w:szCs w:val="20"/>
              </w:rPr>
            </w:pPr>
            <w:r w:rsidRPr="00E35C1C">
              <w:rPr>
                <w:rFonts w:ascii="Arial" w:hAnsi="Arial" w:cs="Arial"/>
                <w:sz w:val="20"/>
                <w:szCs w:val="20"/>
              </w:rPr>
              <w:t>53</w:t>
            </w:r>
          </w:p>
        </w:tc>
        <w:tc>
          <w:tcPr>
            <w:tcW w:w="1003" w:type="dxa"/>
            <w:tcBorders>
              <w:bottom w:val="single" w:sz="2" w:space="0" w:color="auto"/>
            </w:tcBorders>
            <w:shd w:val="clear" w:color="auto" w:fill="auto"/>
          </w:tcPr>
          <w:p w14:paraId="38DA9E06" w14:textId="77777777" w:rsidR="00991426" w:rsidRPr="00E35C1C" w:rsidRDefault="00991426" w:rsidP="00CA0D3D">
            <w:pPr>
              <w:rPr>
                <w:rFonts w:ascii="Arial" w:hAnsi="Arial" w:cs="Arial"/>
                <w:sz w:val="20"/>
                <w:szCs w:val="20"/>
              </w:rPr>
            </w:pPr>
            <w:r w:rsidRPr="00E35C1C">
              <w:rPr>
                <w:rFonts w:ascii="Arial" w:hAnsi="Arial" w:cs="Arial"/>
                <w:sz w:val="20"/>
                <w:szCs w:val="20"/>
              </w:rPr>
              <w:t>87</w:t>
            </w:r>
          </w:p>
        </w:tc>
        <w:tc>
          <w:tcPr>
            <w:tcW w:w="1049" w:type="dxa"/>
            <w:tcBorders>
              <w:bottom w:val="single" w:sz="2" w:space="0" w:color="auto"/>
            </w:tcBorders>
            <w:shd w:val="clear" w:color="auto" w:fill="auto"/>
          </w:tcPr>
          <w:p w14:paraId="35ED298B" w14:textId="77777777" w:rsidR="00991426" w:rsidRPr="00E35C1C" w:rsidRDefault="00991426" w:rsidP="00CA0D3D">
            <w:pPr>
              <w:rPr>
                <w:rFonts w:ascii="Arial" w:hAnsi="Arial" w:cs="Arial"/>
                <w:sz w:val="20"/>
                <w:szCs w:val="20"/>
              </w:rPr>
            </w:pPr>
            <w:r w:rsidRPr="00E35C1C">
              <w:rPr>
                <w:rFonts w:ascii="Arial" w:hAnsi="Arial" w:cs="Arial"/>
                <w:sz w:val="20"/>
                <w:szCs w:val="20"/>
              </w:rPr>
              <w:t>110</w:t>
            </w:r>
          </w:p>
        </w:tc>
        <w:tc>
          <w:tcPr>
            <w:tcW w:w="1049" w:type="dxa"/>
            <w:tcBorders>
              <w:bottom w:val="single" w:sz="2" w:space="0" w:color="auto"/>
            </w:tcBorders>
            <w:shd w:val="clear" w:color="auto" w:fill="auto"/>
          </w:tcPr>
          <w:p w14:paraId="665F7968" w14:textId="77777777" w:rsidR="00991426" w:rsidRPr="00E35C1C" w:rsidRDefault="00991426" w:rsidP="00CA0D3D">
            <w:pPr>
              <w:rPr>
                <w:rFonts w:ascii="Arial" w:hAnsi="Arial" w:cs="Arial"/>
                <w:sz w:val="20"/>
                <w:szCs w:val="20"/>
              </w:rPr>
            </w:pPr>
            <w:r w:rsidRPr="00E35C1C">
              <w:rPr>
                <w:rFonts w:ascii="Arial" w:hAnsi="Arial" w:cs="Arial"/>
                <w:sz w:val="20"/>
                <w:szCs w:val="20"/>
              </w:rPr>
              <w:t>0</w:t>
            </w:r>
          </w:p>
        </w:tc>
        <w:tc>
          <w:tcPr>
            <w:tcW w:w="1049" w:type="dxa"/>
            <w:tcBorders>
              <w:bottom w:val="single" w:sz="2" w:space="0" w:color="auto"/>
            </w:tcBorders>
            <w:shd w:val="clear" w:color="auto" w:fill="auto"/>
          </w:tcPr>
          <w:p w14:paraId="77C188A8" w14:textId="77777777" w:rsidR="00991426" w:rsidRPr="00E35C1C" w:rsidRDefault="00991426" w:rsidP="00CA0D3D">
            <w:pPr>
              <w:rPr>
                <w:rFonts w:ascii="Arial" w:hAnsi="Arial" w:cs="Arial"/>
                <w:sz w:val="20"/>
                <w:szCs w:val="20"/>
              </w:rPr>
            </w:pPr>
            <w:r w:rsidRPr="00E35C1C">
              <w:rPr>
                <w:rFonts w:ascii="Arial" w:hAnsi="Arial" w:cs="Arial"/>
                <w:sz w:val="20"/>
                <w:szCs w:val="20"/>
              </w:rPr>
              <w:t>47.99</w:t>
            </w:r>
          </w:p>
        </w:tc>
        <w:tc>
          <w:tcPr>
            <w:tcW w:w="1049" w:type="dxa"/>
            <w:tcBorders>
              <w:bottom w:val="single" w:sz="2" w:space="0" w:color="auto"/>
            </w:tcBorders>
            <w:shd w:val="clear" w:color="auto" w:fill="auto"/>
          </w:tcPr>
          <w:p w14:paraId="56A49B3A" w14:textId="77777777" w:rsidR="00991426" w:rsidRPr="00E35C1C" w:rsidRDefault="00991426" w:rsidP="00CA0D3D">
            <w:pPr>
              <w:rPr>
                <w:rFonts w:ascii="Arial" w:hAnsi="Arial" w:cs="Arial"/>
                <w:sz w:val="20"/>
                <w:szCs w:val="20"/>
              </w:rPr>
            </w:pPr>
            <w:r w:rsidRPr="00E35C1C">
              <w:rPr>
                <w:rFonts w:ascii="Arial" w:hAnsi="Arial" w:cs="Arial"/>
                <w:sz w:val="20"/>
                <w:szCs w:val="20"/>
              </w:rPr>
              <w:t>4500</w:t>
            </w:r>
          </w:p>
        </w:tc>
        <w:tc>
          <w:tcPr>
            <w:tcW w:w="1049" w:type="dxa"/>
            <w:tcBorders>
              <w:bottom w:val="single" w:sz="2" w:space="0" w:color="auto"/>
            </w:tcBorders>
            <w:shd w:val="clear" w:color="auto" w:fill="auto"/>
          </w:tcPr>
          <w:p w14:paraId="03E3E634" w14:textId="77777777" w:rsidR="00991426" w:rsidRPr="00E35C1C" w:rsidRDefault="00991426" w:rsidP="00CA0D3D">
            <w:pPr>
              <w:rPr>
                <w:rFonts w:ascii="Arial" w:hAnsi="Arial" w:cs="Arial"/>
                <w:sz w:val="20"/>
                <w:szCs w:val="20"/>
              </w:rPr>
            </w:pPr>
            <w:r w:rsidRPr="00E35C1C">
              <w:rPr>
                <w:rFonts w:ascii="Arial" w:hAnsi="Arial" w:cs="Arial"/>
                <w:sz w:val="20"/>
                <w:szCs w:val="20"/>
              </w:rPr>
              <w:t>6239</w:t>
            </w:r>
          </w:p>
        </w:tc>
      </w:tr>
      <w:tr w:rsidR="009F14ED" w:rsidRPr="00E35C1C" w14:paraId="198AFC94" w14:textId="77777777" w:rsidTr="00E35C1C">
        <w:tc>
          <w:tcPr>
            <w:tcW w:w="1050" w:type="dxa"/>
            <w:tcBorders>
              <w:top w:val="single" w:sz="2" w:space="0" w:color="auto"/>
              <w:left w:val="single" w:sz="2" w:space="0" w:color="auto"/>
              <w:bottom w:val="single" w:sz="18" w:space="0" w:color="auto"/>
              <w:right w:val="single" w:sz="2" w:space="0" w:color="auto"/>
            </w:tcBorders>
            <w:shd w:val="clear" w:color="auto" w:fill="auto"/>
          </w:tcPr>
          <w:p w14:paraId="628E7FE2" w14:textId="77777777" w:rsidR="00991426" w:rsidRPr="00E35C1C" w:rsidRDefault="00991426" w:rsidP="00CA0D3D">
            <w:pPr>
              <w:rPr>
                <w:rFonts w:ascii="Arial" w:hAnsi="Arial" w:cs="Arial"/>
                <w:sz w:val="20"/>
                <w:szCs w:val="20"/>
              </w:rPr>
            </w:pPr>
            <w:r w:rsidRPr="00E35C1C">
              <w:rPr>
                <w:rFonts w:ascii="Arial" w:hAnsi="Arial" w:cs="Arial"/>
                <w:sz w:val="20"/>
                <w:szCs w:val="20"/>
              </w:rPr>
              <w:t>LT377</w:t>
            </w:r>
          </w:p>
        </w:tc>
        <w:tc>
          <w:tcPr>
            <w:tcW w:w="1049" w:type="dxa"/>
            <w:tcBorders>
              <w:top w:val="single" w:sz="2" w:space="0" w:color="auto"/>
              <w:left w:val="single" w:sz="2" w:space="0" w:color="auto"/>
              <w:bottom w:val="single" w:sz="18" w:space="0" w:color="auto"/>
              <w:right w:val="single" w:sz="2" w:space="0" w:color="auto"/>
            </w:tcBorders>
            <w:shd w:val="clear" w:color="auto" w:fill="auto"/>
          </w:tcPr>
          <w:p w14:paraId="0FCCE668" w14:textId="77777777" w:rsidR="00991426" w:rsidRPr="00E35C1C" w:rsidRDefault="00991426" w:rsidP="00CA0D3D">
            <w:pPr>
              <w:rPr>
                <w:rFonts w:ascii="Arial" w:hAnsi="Arial" w:cs="Arial"/>
                <w:sz w:val="20"/>
                <w:szCs w:val="20"/>
              </w:rPr>
            </w:pPr>
            <w:r w:rsidRPr="00E35C1C">
              <w:rPr>
                <w:rFonts w:ascii="Arial" w:hAnsi="Arial" w:cs="Arial"/>
                <w:sz w:val="20"/>
                <w:szCs w:val="20"/>
              </w:rPr>
              <w:t>Tier 1</w:t>
            </w:r>
          </w:p>
        </w:tc>
        <w:tc>
          <w:tcPr>
            <w:tcW w:w="1003" w:type="dxa"/>
            <w:tcBorders>
              <w:top w:val="single" w:sz="2" w:space="0" w:color="auto"/>
              <w:left w:val="single" w:sz="2" w:space="0" w:color="auto"/>
              <w:bottom w:val="single" w:sz="18" w:space="0" w:color="auto"/>
              <w:right w:val="single" w:sz="2" w:space="0" w:color="auto"/>
            </w:tcBorders>
            <w:shd w:val="clear" w:color="auto" w:fill="auto"/>
          </w:tcPr>
          <w:p w14:paraId="42AFED70" w14:textId="77777777" w:rsidR="00991426" w:rsidRPr="00E35C1C" w:rsidRDefault="00991426" w:rsidP="00CA0D3D">
            <w:pPr>
              <w:rPr>
                <w:rFonts w:ascii="Arial" w:hAnsi="Arial" w:cs="Arial"/>
                <w:sz w:val="20"/>
                <w:szCs w:val="20"/>
              </w:rPr>
            </w:pPr>
            <w:r w:rsidRPr="00E35C1C">
              <w:rPr>
                <w:rFonts w:ascii="Arial" w:hAnsi="Arial" w:cs="Arial"/>
                <w:sz w:val="20"/>
                <w:szCs w:val="20"/>
              </w:rPr>
              <w:t>81</w:t>
            </w:r>
          </w:p>
        </w:tc>
        <w:tc>
          <w:tcPr>
            <w:tcW w:w="1003" w:type="dxa"/>
            <w:tcBorders>
              <w:top w:val="single" w:sz="2" w:space="0" w:color="auto"/>
              <w:left w:val="single" w:sz="2" w:space="0" w:color="auto"/>
              <w:bottom w:val="single" w:sz="18" w:space="0" w:color="auto"/>
              <w:right w:val="single" w:sz="2" w:space="0" w:color="auto"/>
            </w:tcBorders>
            <w:shd w:val="clear" w:color="auto" w:fill="auto"/>
          </w:tcPr>
          <w:p w14:paraId="7234AA5D" w14:textId="77777777" w:rsidR="00991426" w:rsidRPr="00E35C1C" w:rsidRDefault="00991426" w:rsidP="00CA0D3D">
            <w:pPr>
              <w:rPr>
                <w:rFonts w:ascii="Arial" w:hAnsi="Arial" w:cs="Arial"/>
                <w:sz w:val="20"/>
                <w:szCs w:val="20"/>
              </w:rPr>
            </w:pPr>
            <w:r w:rsidRPr="00E35C1C">
              <w:rPr>
                <w:rFonts w:ascii="Arial" w:hAnsi="Arial" w:cs="Arial"/>
                <w:sz w:val="20"/>
                <w:szCs w:val="20"/>
              </w:rPr>
              <w:t>93</w:t>
            </w:r>
          </w:p>
        </w:tc>
        <w:tc>
          <w:tcPr>
            <w:tcW w:w="1049" w:type="dxa"/>
            <w:tcBorders>
              <w:top w:val="single" w:sz="2" w:space="0" w:color="auto"/>
              <w:left w:val="single" w:sz="2" w:space="0" w:color="auto"/>
              <w:bottom w:val="single" w:sz="18" w:space="0" w:color="auto"/>
              <w:right w:val="single" w:sz="2" w:space="0" w:color="auto"/>
            </w:tcBorders>
            <w:shd w:val="clear" w:color="auto" w:fill="auto"/>
          </w:tcPr>
          <w:p w14:paraId="6978B954" w14:textId="77777777" w:rsidR="00991426" w:rsidRPr="00E35C1C" w:rsidRDefault="00991426" w:rsidP="00CA0D3D">
            <w:pPr>
              <w:rPr>
                <w:rFonts w:ascii="Arial" w:hAnsi="Arial" w:cs="Arial"/>
                <w:sz w:val="20"/>
                <w:szCs w:val="20"/>
              </w:rPr>
            </w:pPr>
            <w:r w:rsidRPr="00E35C1C">
              <w:rPr>
                <w:rFonts w:ascii="Arial" w:hAnsi="Arial" w:cs="Arial"/>
                <w:sz w:val="20"/>
                <w:szCs w:val="20"/>
              </w:rPr>
              <w:t>110</w:t>
            </w:r>
          </w:p>
        </w:tc>
        <w:tc>
          <w:tcPr>
            <w:tcW w:w="1049" w:type="dxa"/>
            <w:tcBorders>
              <w:top w:val="single" w:sz="2" w:space="0" w:color="auto"/>
              <w:left w:val="single" w:sz="2" w:space="0" w:color="auto"/>
              <w:bottom w:val="single" w:sz="18" w:space="0" w:color="auto"/>
              <w:right w:val="single" w:sz="2" w:space="0" w:color="auto"/>
            </w:tcBorders>
            <w:shd w:val="clear" w:color="auto" w:fill="auto"/>
          </w:tcPr>
          <w:p w14:paraId="576ABBFB" w14:textId="77777777" w:rsidR="00991426" w:rsidRPr="00E35C1C" w:rsidRDefault="00991426" w:rsidP="00CA0D3D">
            <w:pPr>
              <w:rPr>
                <w:rFonts w:ascii="Arial" w:hAnsi="Arial" w:cs="Arial"/>
                <w:sz w:val="20"/>
                <w:szCs w:val="20"/>
              </w:rPr>
            </w:pPr>
            <w:r w:rsidRPr="00E35C1C">
              <w:rPr>
                <w:rFonts w:ascii="Arial" w:hAnsi="Arial" w:cs="Arial"/>
                <w:sz w:val="20"/>
                <w:szCs w:val="20"/>
              </w:rPr>
              <w:t>48.00</w:t>
            </w:r>
          </w:p>
        </w:tc>
        <w:tc>
          <w:tcPr>
            <w:tcW w:w="1049" w:type="dxa"/>
            <w:tcBorders>
              <w:top w:val="single" w:sz="2" w:space="0" w:color="auto"/>
              <w:left w:val="single" w:sz="2" w:space="0" w:color="auto"/>
              <w:bottom w:val="single" w:sz="18" w:space="0" w:color="auto"/>
              <w:right w:val="single" w:sz="2" w:space="0" w:color="auto"/>
            </w:tcBorders>
            <w:shd w:val="clear" w:color="auto" w:fill="auto"/>
          </w:tcPr>
          <w:p w14:paraId="34BA7EAD" w14:textId="77777777" w:rsidR="00991426" w:rsidRPr="00E35C1C" w:rsidRDefault="00991426" w:rsidP="00CA0D3D">
            <w:pPr>
              <w:rPr>
                <w:rFonts w:ascii="Arial" w:hAnsi="Arial" w:cs="Arial"/>
                <w:sz w:val="20"/>
                <w:szCs w:val="20"/>
              </w:rPr>
            </w:pPr>
            <w:r w:rsidRPr="00E35C1C">
              <w:rPr>
                <w:rFonts w:ascii="Arial" w:hAnsi="Arial" w:cs="Arial"/>
                <w:sz w:val="20"/>
                <w:szCs w:val="20"/>
              </w:rPr>
              <w:t>70.99</w:t>
            </w:r>
          </w:p>
        </w:tc>
        <w:tc>
          <w:tcPr>
            <w:tcW w:w="1049" w:type="dxa"/>
            <w:tcBorders>
              <w:top w:val="single" w:sz="2" w:space="0" w:color="auto"/>
              <w:left w:val="single" w:sz="2" w:space="0" w:color="auto"/>
              <w:bottom w:val="single" w:sz="18" w:space="0" w:color="auto"/>
              <w:right w:val="single" w:sz="2" w:space="0" w:color="auto"/>
            </w:tcBorders>
            <w:shd w:val="clear" w:color="auto" w:fill="auto"/>
          </w:tcPr>
          <w:p w14:paraId="719A7B4D" w14:textId="77777777" w:rsidR="00991426" w:rsidRPr="00E35C1C" w:rsidRDefault="00991426" w:rsidP="00CA0D3D">
            <w:pPr>
              <w:rPr>
                <w:rFonts w:ascii="Arial" w:hAnsi="Arial" w:cs="Arial"/>
                <w:sz w:val="20"/>
                <w:szCs w:val="20"/>
              </w:rPr>
            </w:pPr>
            <w:r w:rsidRPr="00E35C1C">
              <w:rPr>
                <w:rFonts w:ascii="Arial" w:hAnsi="Arial" w:cs="Arial"/>
                <w:sz w:val="20"/>
                <w:szCs w:val="20"/>
              </w:rPr>
              <w:t>5280</w:t>
            </w:r>
          </w:p>
        </w:tc>
        <w:tc>
          <w:tcPr>
            <w:tcW w:w="1049" w:type="dxa"/>
            <w:tcBorders>
              <w:top w:val="single" w:sz="2" w:space="0" w:color="auto"/>
              <w:left w:val="single" w:sz="2" w:space="0" w:color="auto"/>
              <w:bottom w:val="single" w:sz="18" w:space="0" w:color="auto"/>
              <w:right w:val="single" w:sz="2" w:space="0" w:color="auto"/>
            </w:tcBorders>
            <w:shd w:val="clear" w:color="auto" w:fill="auto"/>
          </w:tcPr>
          <w:p w14:paraId="4E792B9D" w14:textId="77777777" w:rsidR="00991426" w:rsidRPr="00E35C1C" w:rsidRDefault="00991426" w:rsidP="00CA0D3D">
            <w:pPr>
              <w:rPr>
                <w:rFonts w:ascii="Arial" w:hAnsi="Arial" w:cs="Arial"/>
                <w:sz w:val="20"/>
                <w:szCs w:val="20"/>
              </w:rPr>
            </w:pPr>
            <w:r w:rsidRPr="00E35C1C">
              <w:rPr>
                <w:rFonts w:ascii="Arial" w:hAnsi="Arial" w:cs="Arial"/>
                <w:sz w:val="20"/>
                <w:szCs w:val="20"/>
              </w:rPr>
              <w:t>9229</w:t>
            </w:r>
          </w:p>
        </w:tc>
      </w:tr>
      <w:tr w:rsidR="009F14ED" w:rsidRPr="00E35C1C" w14:paraId="1B00E1A6" w14:textId="77777777" w:rsidTr="00E35C1C">
        <w:tc>
          <w:tcPr>
            <w:tcW w:w="1050" w:type="dxa"/>
            <w:tcBorders>
              <w:top w:val="single" w:sz="18" w:space="0" w:color="auto"/>
            </w:tcBorders>
            <w:shd w:val="clear" w:color="auto" w:fill="auto"/>
          </w:tcPr>
          <w:p w14:paraId="04088BBE" w14:textId="77777777" w:rsidR="00991426" w:rsidRPr="00E35C1C" w:rsidRDefault="00991426" w:rsidP="00CA0D3D">
            <w:pPr>
              <w:rPr>
                <w:rFonts w:ascii="Arial" w:hAnsi="Arial" w:cs="Arial"/>
                <w:sz w:val="20"/>
                <w:szCs w:val="20"/>
              </w:rPr>
            </w:pPr>
            <w:r w:rsidRPr="00E35C1C">
              <w:rPr>
                <w:rFonts w:ascii="Arial" w:hAnsi="Arial" w:cs="Arial"/>
                <w:sz w:val="20"/>
                <w:szCs w:val="20"/>
              </w:rPr>
              <w:t>LT385</w:t>
            </w:r>
          </w:p>
        </w:tc>
        <w:tc>
          <w:tcPr>
            <w:tcW w:w="1049" w:type="dxa"/>
            <w:tcBorders>
              <w:top w:val="single" w:sz="18" w:space="0" w:color="auto"/>
            </w:tcBorders>
            <w:shd w:val="clear" w:color="auto" w:fill="auto"/>
          </w:tcPr>
          <w:p w14:paraId="56E5A08F" w14:textId="77777777" w:rsidR="00991426" w:rsidRPr="00E35C1C" w:rsidRDefault="00991426" w:rsidP="00CA0D3D">
            <w:pPr>
              <w:rPr>
                <w:rFonts w:ascii="Arial" w:hAnsi="Arial" w:cs="Arial"/>
                <w:sz w:val="20"/>
                <w:szCs w:val="20"/>
              </w:rPr>
            </w:pPr>
            <w:r w:rsidRPr="00E35C1C">
              <w:rPr>
                <w:rFonts w:ascii="Arial" w:hAnsi="Arial" w:cs="Arial"/>
                <w:sz w:val="20"/>
                <w:szCs w:val="20"/>
              </w:rPr>
              <w:t>Tier 2</w:t>
            </w:r>
          </w:p>
        </w:tc>
        <w:tc>
          <w:tcPr>
            <w:tcW w:w="1003" w:type="dxa"/>
            <w:tcBorders>
              <w:top w:val="single" w:sz="18" w:space="0" w:color="auto"/>
            </w:tcBorders>
            <w:shd w:val="clear" w:color="auto" w:fill="auto"/>
          </w:tcPr>
          <w:p w14:paraId="424D720E" w14:textId="77777777" w:rsidR="00991426" w:rsidRPr="00E35C1C" w:rsidRDefault="00991426" w:rsidP="00CA0D3D">
            <w:pPr>
              <w:rPr>
                <w:rFonts w:ascii="Arial" w:hAnsi="Arial" w:cs="Arial"/>
                <w:sz w:val="20"/>
                <w:szCs w:val="20"/>
              </w:rPr>
            </w:pPr>
            <w:r w:rsidRPr="00E35C1C">
              <w:rPr>
                <w:rFonts w:ascii="Arial" w:hAnsi="Arial" w:cs="Arial"/>
                <w:sz w:val="20"/>
                <w:szCs w:val="20"/>
              </w:rPr>
              <w:t>53</w:t>
            </w:r>
          </w:p>
        </w:tc>
        <w:tc>
          <w:tcPr>
            <w:tcW w:w="1003" w:type="dxa"/>
            <w:tcBorders>
              <w:top w:val="single" w:sz="18" w:space="0" w:color="auto"/>
            </w:tcBorders>
            <w:shd w:val="clear" w:color="auto" w:fill="auto"/>
          </w:tcPr>
          <w:p w14:paraId="301D5057" w14:textId="77777777" w:rsidR="00991426" w:rsidRPr="00E35C1C" w:rsidRDefault="00991426" w:rsidP="00CA0D3D">
            <w:pPr>
              <w:rPr>
                <w:rFonts w:ascii="Arial" w:hAnsi="Arial" w:cs="Arial"/>
                <w:sz w:val="20"/>
                <w:szCs w:val="20"/>
              </w:rPr>
            </w:pPr>
            <w:r w:rsidRPr="00E35C1C">
              <w:rPr>
                <w:rFonts w:ascii="Arial" w:hAnsi="Arial" w:cs="Arial"/>
                <w:sz w:val="20"/>
                <w:szCs w:val="20"/>
              </w:rPr>
              <w:t>87</w:t>
            </w:r>
          </w:p>
        </w:tc>
        <w:tc>
          <w:tcPr>
            <w:tcW w:w="1049" w:type="dxa"/>
            <w:tcBorders>
              <w:top w:val="single" w:sz="18" w:space="0" w:color="auto"/>
            </w:tcBorders>
            <w:shd w:val="clear" w:color="auto" w:fill="auto"/>
          </w:tcPr>
          <w:p w14:paraId="6F9FD77E" w14:textId="77777777" w:rsidR="00991426" w:rsidRPr="00E35C1C" w:rsidRDefault="00991426" w:rsidP="00CA0D3D">
            <w:pPr>
              <w:rPr>
                <w:rFonts w:ascii="Arial" w:hAnsi="Arial" w:cs="Arial"/>
                <w:sz w:val="20"/>
                <w:szCs w:val="20"/>
              </w:rPr>
            </w:pPr>
            <w:r w:rsidRPr="00E35C1C">
              <w:rPr>
                <w:rFonts w:ascii="Arial" w:hAnsi="Arial" w:cs="Arial"/>
                <w:sz w:val="20"/>
                <w:szCs w:val="20"/>
              </w:rPr>
              <w:t>130</w:t>
            </w:r>
          </w:p>
        </w:tc>
        <w:tc>
          <w:tcPr>
            <w:tcW w:w="1049" w:type="dxa"/>
            <w:tcBorders>
              <w:top w:val="single" w:sz="18" w:space="0" w:color="auto"/>
            </w:tcBorders>
            <w:shd w:val="clear" w:color="auto" w:fill="auto"/>
          </w:tcPr>
          <w:p w14:paraId="621AFE53" w14:textId="77777777" w:rsidR="00991426" w:rsidRPr="00E35C1C" w:rsidRDefault="00991426" w:rsidP="00CA0D3D">
            <w:pPr>
              <w:rPr>
                <w:rFonts w:ascii="Arial" w:hAnsi="Arial" w:cs="Arial"/>
                <w:sz w:val="20"/>
                <w:szCs w:val="20"/>
              </w:rPr>
            </w:pPr>
            <w:r w:rsidRPr="00E35C1C">
              <w:rPr>
                <w:rFonts w:ascii="Arial" w:hAnsi="Arial" w:cs="Arial"/>
                <w:sz w:val="20"/>
                <w:szCs w:val="20"/>
              </w:rPr>
              <w:t>0</w:t>
            </w:r>
          </w:p>
        </w:tc>
        <w:tc>
          <w:tcPr>
            <w:tcW w:w="1049" w:type="dxa"/>
            <w:tcBorders>
              <w:top w:val="single" w:sz="18" w:space="0" w:color="auto"/>
            </w:tcBorders>
            <w:shd w:val="clear" w:color="auto" w:fill="auto"/>
          </w:tcPr>
          <w:p w14:paraId="409B923D" w14:textId="77777777" w:rsidR="00991426" w:rsidRPr="00E35C1C" w:rsidRDefault="00991426" w:rsidP="00CA0D3D">
            <w:pPr>
              <w:rPr>
                <w:rFonts w:ascii="Arial" w:hAnsi="Arial" w:cs="Arial"/>
                <w:sz w:val="20"/>
                <w:szCs w:val="20"/>
              </w:rPr>
            </w:pPr>
            <w:r w:rsidRPr="00E35C1C">
              <w:rPr>
                <w:rFonts w:ascii="Arial" w:hAnsi="Arial" w:cs="Arial"/>
                <w:sz w:val="20"/>
                <w:szCs w:val="20"/>
              </w:rPr>
              <w:t>41.99</w:t>
            </w:r>
          </w:p>
        </w:tc>
        <w:tc>
          <w:tcPr>
            <w:tcW w:w="1049" w:type="dxa"/>
            <w:tcBorders>
              <w:top w:val="single" w:sz="18" w:space="0" w:color="auto"/>
            </w:tcBorders>
            <w:shd w:val="clear" w:color="auto" w:fill="auto"/>
          </w:tcPr>
          <w:p w14:paraId="2B461111" w14:textId="77777777" w:rsidR="00991426" w:rsidRPr="00E35C1C" w:rsidRDefault="00991426" w:rsidP="00CA0D3D">
            <w:pPr>
              <w:rPr>
                <w:rFonts w:ascii="Arial" w:hAnsi="Arial" w:cs="Arial"/>
                <w:sz w:val="20"/>
                <w:szCs w:val="20"/>
              </w:rPr>
            </w:pPr>
            <w:r w:rsidRPr="00E35C1C">
              <w:rPr>
                <w:rFonts w:ascii="Arial" w:hAnsi="Arial" w:cs="Arial"/>
                <w:sz w:val="20"/>
                <w:szCs w:val="20"/>
              </w:rPr>
              <w:t>4500</w:t>
            </w:r>
          </w:p>
        </w:tc>
        <w:tc>
          <w:tcPr>
            <w:tcW w:w="1049" w:type="dxa"/>
            <w:tcBorders>
              <w:top w:val="single" w:sz="18" w:space="0" w:color="auto"/>
            </w:tcBorders>
            <w:shd w:val="clear" w:color="auto" w:fill="auto"/>
          </w:tcPr>
          <w:p w14:paraId="3A098A06" w14:textId="77777777" w:rsidR="00991426" w:rsidRPr="00E35C1C" w:rsidRDefault="00991426" w:rsidP="00CA0D3D">
            <w:pPr>
              <w:rPr>
                <w:rFonts w:ascii="Arial" w:hAnsi="Arial" w:cs="Arial"/>
                <w:sz w:val="20"/>
                <w:szCs w:val="20"/>
              </w:rPr>
            </w:pPr>
            <w:r w:rsidRPr="00E35C1C">
              <w:rPr>
                <w:rFonts w:ascii="Arial" w:hAnsi="Arial" w:cs="Arial"/>
                <w:sz w:val="20"/>
                <w:szCs w:val="20"/>
              </w:rPr>
              <w:t>10400</w:t>
            </w:r>
          </w:p>
        </w:tc>
      </w:tr>
      <w:tr w:rsidR="009F14ED" w:rsidRPr="00E35C1C" w14:paraId="488200DB" w14:textId="77777777" w:rsidTr="00E35C1C">
        <w:tc>
          <w:tcPr>
            <w:tcW w:w="1050" w:type="dxa"/>
            <w:shd w:val="clear" w:color="auto" w:fill="auto"/>
          </w:tcPr>
          <w:p w14:paraId="0BDD4C23" w14:textId="77777777" w:rsidR="00991426" w:rsidRPr="00E35C1C" w:rsidRDefault="00991426" w:rsidP="00CA0D3D">
            <w:pPr>
              <w:rPr>
                <w:rFonts w:ascii="Arial" w:hAnsi="Arial" w:cs="Arial"/>
                <w:sz w:val="20"/>
                <w:szCs w:val="20"/>
              </w:rPr>
            </w:pPr>
            <w:r w:rsidRPr="00E35C1C">
              <w:rPr>
                <w:rFonts w:ascii="Arial" w:hAnsi="Arial" w:cs="Arial"/>
                <w:sz w:val="20"/>
                <w:szCs w:val="20"/>
              </w:rPr>
              <w:t>LT386</w:t>
            </w:r>
          </w:p>
        </w:tc>
        <w:tc>
          <w:tcPr>
            <w:tcW w:w="1049" w:type="dxa"/>
            <w:shd w:val="clear" w:color="auto" w:fill="auto"/>
          </w:tcPr>
          <w:p w14:paraId="43BEA259" w14:textId="77777777" w:rsidR="00991426" w:rsidRPr="00E35C1C" w:rsidRDefault="00991426" w:rsidP="00CA0D3D">
            <w:pPr>
              <w:rPr>
                <w:rFonts w:ascii="Arial" w:hAnsi="Arial" w:cs="Arial"/>
                <w:sz w:val="20"/>
                <w:szCs w:val="20"/>
              </w:rPr>
            </w:pPr>
            <w:r w:rsidRPr="00E35C1C">
              <w:rPr>
                <w:rFonts w:ascii="Arial" w:hAnsi="Arial" w:cs="Arial"/>
                <w:sz w:val="20"/>
                <w:szCs w:val="20"/>
              </w:rPr>
              <w:t>Tier 2</w:t>
            </w:r>
          </w:p>
        </w:tc>
        <w:tc>
          <w:tcPr>
            <w:tcW w:w="1003" w:type="dxa"/>
            <w:shd w:val="clear" w:color="auto" w:fill="auto"/>
          </w:tcPr>
          <w:p w14:paraId="0366FCB0" w14:textId="77777777" w:rsidR="00991426" w:rsidRPr="00E35C1C" w:rsidRDefault="00991426" w:rsidP="00CA0D3D">
            <w:pPr>
              <w:rPr>
                <w:rFonts w:ascii="Arial" w:hAnsi="Arial" w:cs="Arial"/>
                <w:sz w:val="20"/>
                <w:szCs w:val="20"/>
              </w:rPr>
            </w:pPr>
            <w:r w:rsidRPr="00E35C1C">
              <w:rPr>
                <w:rFonts w:ascii="Arial" w:hAnsi="Arial" w:cs="Arial"/>
                <w:sz w:val="20"/>
                <w:szCs w:val="20"/>
              </w:rPr>
              <w:t>81</w:t>
            </w:r>
          </w:p>
        </w:tc>
        <w:tc>
          <w:tcPr>
            <w:tcW w:w="1003" w:type="dxa"/>
            <w:shd w:val="clear" w:color="auto" w:fill="auto"/>
          </w:tcPr>
          <w:p w14:paraId="20F8A2F0" w14:textId="77777777" w:rsidR="00991426" w:rsidRPr="00E35C1C" w:rsidRDefault="00991426" w:rsidP="00CA0D3D">
            <w:pPr>
              <w:rPr>
                <w:rFonts w:ascii="Arial" w:hAnsi="Arial" w:cs="Arial"/>
                <w:sz w:val="20"/>
                <w:szCs w:val="20"/>
              </w:rPr>
            </w:pPr>
            <w:r w:rsidRPr="00E35C1C">
              <w:rPr>
                <w:rFonts w:ascii="Arial" w:hAnsi="Arial" w:cs="Arial"/>
                <w:sz w:val="20"/>
                <w:szCs w:val="20"/>
              </w:rPr>
              <w:t>93</w:t>
            </w:r>
          </w:p>
        </w:tc>
        <w:tc>
          <w:tcPr>
            <w:tcW w:w="1049" w:type="dxa"/>
            <w:shd w:val="clear" w:color="auto" w:fill="auto"/>
          </w:tcPr>
          <w:p w14:paraId="7D8F9119" w14:textId="77777777" w:rsidR="00991426" w:rsidRPr="00E35C1C" w:rsidRDefault="00991426" w:rsidP="00CA0D3D">
            <w:pPr>
              <w:rPr>
                <w:rFonts w:ascii="Arial" w:hAnsi="Arial" w:cs="Arial"/>
                <w:sz w:val="20"/>
                <w:szCs w:val="20"/>
              </w:rPr>
            </w:pPr>
            <w:r w:rsidRPr="00E35C1C">
              <w:rPr>
                <w:rFonts w:ascii="Arial" w:hAnsi="Arial" w:cs="Arial"/>
                <w:sz w:val="20"/>
                <w:szCs w:val="20"/>
              </w:rPr>
              <w:t>130</w:t>
            </w:r>
          </w:p>
        </w:tc>
        <w:tc>
          <w:tcPr>
            <w:tcW w:w="1049" w:type="dxa"/>
            <w:shd w:val="clear" w:color="auto" w:fill="auto"/>
          </w:tcPr>
          <w:p w14:paraId="07BE69F7" w14:textId="77777777" w:rsidR="00991426" w:rsidRPr="00E35C1C" w:rsidRDefault="00991426" w:rsidP="00CA0D3D">
            <w:pPr>
              <w:rPr>
                <w:rFonts w:ascii="Arial" w:hAnsi="Arial" w:cs="Arial"/>
                <w:sz w:val="20"/>
                <w:szCs w:val="20"/>
              </w:rPr>
            </w:pPr>
            <w:r w:rsidRPr="00E35C1C">
              <w:rPr>
                <w:rFonts w:ascii="Arial" w:hAnsi="Arial" w:cs="Arial"/>
                <w:sz w:val="20"/>
                <w:szCs w:val="20"/>
              </w:rPr>
              <w:t>42.00</w:t>
            </w:r>
          </w:p>
        </w:tc>
        <w:tc>
          <w:tcPr>
            <w:tcW w:w="1049" w:type="dxa"/>
            <w:shd w:val="clear" w:color="auto" w:fill="auto"/>
          </w:tcPr>
          <w:p w14:paraId="2EF3E234" w14:textId="77777777" w:rsidR="00991426" w:rsidRPr="00E35C1C" w:rsidRDefault="00991426" w:rsidP="00CA0D3D">
            <w:pPr>
              <w:rPr>
                <w:rFonts w:ascii="Arial" w:hAnsi="Arial" w:cs="Arial"/>
                <w:sz w:val="20"/>
                <w:szCs w:val="20"/>
              </w:rPr>
            </w:pPr>
            <w:r w:rsidRPr="00E35C1C">
              <w:rPr>
                <w:rFonts w:ascii="Arial" w:hAnsi="Arial" w:cs="Arial"/>
                <w:sz w:val="20"/>
                <w:szCs w:val="20"/>
              </w:rPr>
              <w:t>59.99</w:t>
            </w:r>
          </w:p>
        </w:tc>
        <w:tc>
          <w:tcPr>
            <w:tcW w:w="1049" w:type="dxa"/>
            <w:shd w:val="clear" w:color="auto" w:fill="auto"/>
          </w:tcPr>
          <w:p w14:paraId="5D39A494" w14:textId="77777777" w:rsidR="00991426" w:rsidRPr="00E35C1C" w:rsidRDefault="00991426" w:rsidP="00CA0D3D">
            <w:pPr>
              <w:rPr>
                <w:rFonts w:ascii="Arial" w:hAnsi="Arial" w:cs="Arial"/>
                <w:sz w:val="20"/>
                <w:szCs w:val="20"/>
              </w:rPr>
            </w:pPr>
            <w:r w:rsidRPr="00E35C1C">
              <w:rPr>
                <w:rFonts w:ascii="Arial" w:hAnsi="Arial" w:cs="Arial"/>
                <w:sz w:val="20"/>
                <w:szCs w:val="20"/>
              </w:rPr>
              <w:t>5460</w:t>
            </w:r>
          </w:p>
        </w:tc>
        <w:tc>
          <w:tcPr>
            <w:tcW w:w="1049" w:type="dxa"/>
            <w:shd w:val="clear" w:color="auto" w:fill="auto"/>
          </w:tcPr>
          <w:p w14:paraId="076BAABE" w14:textId="77777777" w:rsidR="00991426" w:rsidRPr="00E35C1C" w:rsidRDefault="00991426" w:rsidP="00CA0D3D">
            <w:pPr>
              <w:rPr>
                <w:rFonts w:ascii="Arial" w:hAnsi="Arial" w:cs="Arial"/>
                <w:sz w:val="20"/>
                <w:szCs w:val="20"/>
              </w:rPr>
            </w:pPr>
            <w:r w:rsidRPr="00E35C1C">
              <w:rPr>
                <w:rFonts w:ascii="Arial" w:hAnsi="Arial" w:cs="Arial"/>
                <w:sz w:val="20"/>
                <w:szCs w:val="20"/>
              </w:rPr>
              <w:t>14500</w:t>
            </w:r>
          </w:p>
        </w:tc>
      </w:tr>
    </w:tbl>
    <w:p w14:paraId="1CA28AF7" w14:textId="67289C07" w:rsidR="007D2501" w:rsidRDefault="007D2501" w:rsidP="00AC48FA">
      <w:pPr>
        <w:pStyle w:val="Caption"/>
        <w:keepNext/>
      </w:pPr>
    </w:p>
    <w:p w14:paraId="739FF0C7" w14:textId="7BAEEB3C" w:rsidR="007D2501" w:rsidRDefault="007D2501" w:rsidP="00AC48FA">
      <w:pPr>
        <w:pStyle w:val="Caption"/>
        <w:keepNext/>
        <w:jc w:val="center"/>
      </w:pPr>
      <w:bookmarkStart w:id="126" w:name="_Toc2804944"/>
      <w:r>
        <w:t xml:space="preserve">Table </w:t>
      </w:r>
      <w:fldSimple w:instr=" SEQ Table \* ARABIC ">
        <w:r>
          <w:rPr>
            <w:noProof/>
          </w:rPr>
          <w:t>1</w:t>
        </w:r>
      </w:fldSimple>
      <w:r w:rsidR="004C5579">
        <w:t>3</w:t>
      </w:r>
      <w:r>
        <w:t xml:space="preserve"> </w:t>
      </w:r>
      <w:r w:rsidRPr="008D5E81">
        <w:t>Lumen Bin Method (Proposed)</w:t>
      </w:r>
      <w:bookmarkEnd w:id="126"/>
    </w:p>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
        <w:gridCol w:w="1024"/>
        <w:gridCol w:w="972"/>
        <w:gridCol w:w="972"/>
        <w:gridCol w:w="1023"/>
        <w:gridCol w:w="1023"/>
        <w:gridCol w:w="1023"/>
        <w:gridCol w:w="1843"/>
      </w:tblGrid>
      <w:tr w:rsidR="009F14ED" w:rsidRPr="00E35C1C" w14:paraId="1980FFEE" w14:textId="77777777" w:rsidTr="00E35C1C">
        <w:tc>
          <w:tcPr>
            <w:tcW w:w="1025" w:type="dxa"/>
            <w:shd w:val="clear" w:color="auto" w:fill="auto"/>
          </w:tcPr>
          <w:p w14:paraId="7E93A5C6" w14:textId="77777777" w:rsidR="00991426" w:rsidRPr="00E35C1C" w:rsidRDefault="00991426" w:rsidP="00CA0D3D">
            <w:pPr>
              <w:rPr>
                <w:rFonts w:ascii="Arial" w:hAnsi="Arial" w:cs="Arial"/>
                <w:sz w:val="20"/>
                <w:szCs w:val="20"/>
              </w:rPr>
            </w:pPr>
            <w:r w:rsidRPr="00E35C1C">
              <w:rPr>
                <w:rFonts w:ascii="Arial" w:hAnsi="Arial" w:cs="Arial"/>
                <w:sz w:val="20"/>
                <w:szCs w:val="20"/>
              </w:rPr>
              <w:t>Measure Code</w:t>
            </w:r>
          </w:p>
        </w:tc>
        <w:tc>
          <w:tcPr>
            <w:tcW w:w="1024" w:type="dxa"/>
            <w:shd w:val="clear" w:color="auto" w:fill="auto"/>
          </w:tcPr>
          <w:p w14:paraId="014BA29B" w14:textId="77777777" w:rsidR="00991426" w:rsidRPr="00E35C1C" w:rsidRDefault="00991426" w:rsidP="00CA0D3D">
            <w:pPr>
              <w:rPr>
                <w:rFonts w:ascii="Arial" w:hAnsi="Arial" w:cs="Arial"/>
                <w:sz w:val="20"/>
                <w:szCs w:val="20"/>
              </w:rPr>
            </w:pPr>
            <w:r w:rsidRPr="00E35C1C">
              <w:rPr>
                <w:rFonts w:ascii="Arial" w:hAnsi="Arial" w:cs="Arial"/>
                <w:sz w:val="20"/>
                <w:szCs w:val="20"/>
              </w:rPr>
              <w:t>Measure Case Tier</w:t>
            </w:r>
          </w:p>
        </w:tc>
        <w:tc>
          <w:tcPr>
            <w:tcW w:w="972" w:type="dxa"/>
            <w:shd w:val="clear" w:color="auto" w:fill="auto"/>
          </w:tcPr>
          <w:p w14:paraId="4DA9C995" w14:textId="77777777" w:rsidR="00991426" w:rsidRPr="00E35C1C" w:rsidRDefault="00991426" w:rsidP="00CA0D3D">
            <w:pPr>
              <w:rPr>
                <w:rFonts w:ascii="Arial" w:hAnsi="Arial" w:cs="Arial"/>
                <w:sz w:val="20"/>
                <w:szCs w:val="20"/>
              </w:rPr>
            </w:pPr>
            <w:r w:rsidRPr="00E35C1C">
              <w:rPr>
                <w:rFonts w:ascii="Arial" w:hAnsi="Arial" w:cs="Arial"/>
                <w:sz w:val="20"/>
                <w:szCs w:val="20"/>
              </w:rPr>
              <w:t>Blended Base Case Watts</w:t>
            </w:r>
          </w:p>
        </w:tc>
        <w:tc>
          <w:tcPr>
            <w:tcW w:w="972" w:type="dxa"/>
            <w:shd w:val="clear" w:color="auto" w:fill="auto"/>
          </w:tcPr>
          <w:p w14:paraId="05A73898" w14:textId="77777777" w:rsidR="00991426" w:rsidRPr="00E35C1C" w:rsidRDefault="00991426" w:rsidP="00CA0D3D">
            <w:pPr>
              <w:rPr>
                <w:rFonts w:ascii="Arial" w:hAnsi="Arial" w:cs="Arial"/>
                <w:sz w:val="20"/>
                <w:szCs w:val="20"/>
              </w:rPr>
            </w:pPr>
            <w:r w:rsidRPr="00E35C1C">
              <w:rPr>
                <w:rFonts w:ascii="Arial" w:hAnsi="Arial" w:cs="Arial"/>
                <w:sz w:val="20"/>
                <w:szCs w:val="20"/>
              </w:rPr>
              <w:t>Blended Base Case Efficacy</w:t>
            </w:r>
          </w:p>
        </w:tc>
        <w:tc>
          <w:tcPr>
            <w:tcW w:w="1023" w:type="dxa"/>
            <w:shd w:val="clear" w:color="auto" w:fill="auto"/>
          </w:tcPr>
          <w:p w14:paraId="7B32C787" w14:textId="77777777" w:rsidR="00991426" w:rsidRPr="00E35C1C" w:rsidRDefault="00991426" w:rsidP="00CA0D3D">
            <w:pPr>
              <w:rPr>
                <w:rFonts w:ascii="Arial" w:hAnsi="Arial" w:cs="Arial"/>
                <w:sz w:val="20"/>
                <w:szCs w:val="20"/>
              </w:rPr>
            </w:pPr>
            <w:r w:rsidRPr="00E35C1C">
              <w:rPr>
                <w:rFonts w:ascii="Arial" w:hAnsi="Arial" w:cs="Arial"/>
                <w:sz w:val="20"/>
                <w:szCs w:val="20"/>
              </w:rPr>
              <w:t>Measure Case Efficacy Floor (LPW)</w:t>
            </w:r>
          </w:p>
        </w:tc>
        <w:tc>
          <w:tcPr>
            <w:tcW w:w="1023" w:type="dxa"/>
            <w:shd w:val="clear" w:color="auto" w:fill="auto"/>
          </w:tcPr>
          <w:p w14:paraId="661D7B9A" w14:textId="77777777" w:rsidR="00991426" w:rsidRPr="00E35C1C" w:rsidRDefault="00991426" w:rsidP="00CA0D3D">
            <w:pPr>
              <w:rPr>
                <w:rFonts w:ascii="Arial" w:hAnsi="Arial" w:cs="Arial"/>
                <w:sz w:val="20"/>
                <w:szCs w:val="20"/>
              </w:rPr>
            </w:pPr>
            <w:r w:rsidRPr="00E35C1C">
              <w:rPr>
                <w:rFonts w:ascii="Arial" w:hAnsi="Arial" w:cs="Arial"/>
                <w:sz w:val="20"/>
                <w:szCs w:val="20"/>
              </w:rPr>
              <w:t>Measure Case Lumens (min)</w:t>
            </w:r>
          </w:p>
        </w:tc>
        <w:tc>
          <w:tcPr>
            <w:tcW w:w="1023" w:type="dxa"/>
            <w:shd w:val="clear" w:color="auto" w:fill="auto"/>
          </w:tcPr>
          <w:p w14:paraId="141BC300" w14:textId="77777777" w:rsidR="00991426" w:rsidRPr="00E35C1C" w:rsidRDefault="00991426" w:rsidP="00CA0D3D">
            <w:pPr>
              <w:rPr>
                <w:rFonts w:ascii="Arial" w:hAnsi="Arial" w:cs="Arial"/>
                <w:sz w:val="20"/>
                <w:szCs w:val="20"/>
              </w:rPr>
            </w:pPr>
            <w:r w:rsidRPr="00E35C1C">
              <w:rPr>
                <w:rFonts w:ascii="Arial" w:hAnsi="Arial" w:cs="Arial"/>
                <w:sz w:val="20"/>
                <w:szCs w:val="20"/>
              </w:rPr>
              <w:t>Measure Case Lumens (max)</w:t>
            </w:r>
          </w:p>
        </w:tc>
        <w:tc>
          <w:tcPr>
            <w:tcW w:w="1843" w:type="dxa"/>
            <w:shd w:val="clear" w:color="auto" w:fill="auto"/>
          </w:tcPr>
          <w:p w14:paraId="08149ABD" w14:textId="77777777" w:rsidR="00991426" w:rsidRPr="00E35C1C" w:rsidRDefault="00991426" w:rsidP="00CA0D3D">
            <w:pPr>
              <w:rPr>
                <w:rFonts w:ascii="Arial" w:hAnsi="Arial" w:cs="Arial"/>
                <w:sz w:val="20"/>
                <w:szCs w:val="20"/>
              </w:rPr>
            </w:pPr>
            <w:r w:rsidRPr="00E35C1C">
              <w:rPr>
                <w:rFonts w:ascii="Arial" w:hAnsi="Arial" w:cs="Arial"/>
                <w:sz w:val="20"/>
                <w:szCs w:val="20"/>
              </w:rPr>
              <w:t>Measure Case Wattage (minimum Efficacy, Average Output)</w:t>
            </w:r>
          </w:p>
        </w:tc>
      </w:tr>
      <w:tr w:rsidR="009F14ED" w:rsidRPr="00E35C1C" w14:paraId="55785735" w14:textId="77777777" w:rsidTr="00E35C1C">
        <w:tc>
          <w:tcPr>
            <w:tcW w:w="1025" w:type="dxa"/>
            <w:tcBorders>
              <w:bottom w:val="single" w:sz="4" w:space="0" w:color="auto"/>
            </w:tcBorders>
            <w:shd w:val="clear" w:color="auto" w:fill="auto"/>
          </w:tcPr>
          <w:p w14:paraId="04E71AF1" w14:textId="0AB2B8AB" w:rsidR="00991426" w:rsidRPr="00E35C1C" w:rsidRDefault="00C2541E" w:rsidP="00CA0D3D">
            <w:pPr>
              <w:rPr>
                <w:rFonts w:ascii="Arial" w:hAnsi="Arial" w:cs="Arial"/>
                <w:sz w:val="20"/>
                <w:szCs w:val="20"/>
              </w:rPr>
            </w:pPr>
            <w:r>
              <w:rPr>
                <w:rFonts w:ascii="Arial" w:hAnsi="Arial" w:cs="Arial"/>
                <w:sz w:val="20"/>
                <w:szCs w:val="20"/>
              </w:rPr>
              <w:t>LT514</w:t>
            </w:r>
          </w:p>
        </w:tc>
        <w:tc>
          <w:tcPr>
            <w:tcW w:w="1024" w:type="dxa"/>
            <w:tcBorders>
              <w:bottom w:val="single" w:sz="4" w:space="0" w:color="auto"/>
            </w:tcBorders>
            <w:shd w:val="clear" w:color="auto" w:fill="auto"/>
          </w:tcPr>
          <w:p w14:paraId="31013BFC" w14:textId="77777777" w:rsidR="00991426" w:rsidRPr="00E35C1C" w:rsidRDefault="00991426" w:rsidP="00CA0D3D">
            <w:pPr>
              <w:rPr>
                <w:rFonts w:ascii="Arial" w:hAnsi="Arial" w:cs="Arial"/>
                <w:sz w:val="20"/>
                <w:szCs w:val="20"/>
              </w:rPr>
            </w:pPr>
            <w:r w:rsidRPr="00E35C1C">
              <w:rPr>
                <w:rFonts w:ascii="Arial" w:hAnsi="Arial" w:cs="Arial"/>
                <w:sz w:val="20"/>
                <w:szCs w:val="20"/>
              </w:rPr>
              <w:t>Tier 1</w:t>
            </w:r>
          </w:p>
        </w:tc>
        <w:tc>
          <w:tcPr>
            <w:tcW w:w="972" w:type="dxa"/>
            <w:tcBorders>
              <w:bottom w:val="single" w:sz="4" w:space="0" w:color="auto"/>
            </w:tcBorders>
            <w:shd w:val="clear" w:color="auto" w:fill="auto"/>
          </w:tcPr>
          <w:p w14:paraId="17670160" w14:textId="10D21164" w:rsidR="00991426" w:rsidRPr="00E35C1C" w:rsidRDefault="00C2541E" w:rsidP="00CA0D3D">
            <w:pPr>
              <w:rPr>
                <w:rFonts w:ascii="Arial" w:hAnsi="Arial" w:cs="Arial"/>
                <w:sz w:val="20"/>
                <w:szCs w:val="20"/>
              </w:rPr>
            </w:pPr>
            <w:r>
              <w:rPr>
                <w:rFonts w:ascii="Arial" w:hAnsi="Arial" w:cs="Arial"/>
                <w:sz w:val="20"/>
                <w:szCs w:val="20"/>
              </w:rPr>
              <w:t>5</w:t>
            </w:r>
            <w:r w:rsidR="004C543B">
              <w:rPr>
                <w:rFonts w:ascii="Arial" w:hAnsi="Arial" w:cs="Arial"/>
                <w:sz w:val="20"/>
                <w:szCs w:val="20"/>
              </w:rPr>
              <w:t>8</w:t>
            </w:r>
          </w:p>
        </w:tc>
        <w:tc>
          <w:tcPr>
            <w:tcW w:w="972" w:type="dxa"/>
            <w:tcBorders>
              <w:bottom w:val="single" w:sz="4" w:space="0" w:color="auto"/>
            </w:tcBorders>
            <w:shd w:val="clear" w:color="auto" w:fill="auto"/>
          </w:tcPr>
          <w:p w14:paraId="65AC76A5" w14:textId="242F4DE0" w:rsidR="00991426" w:rsidRPr="00E35C1C" w:rsidRDefault="009C1FCB" w:rsidP="00CA0D3D">
            <w:pPr>
              <w:rPr>
                <w:rFonts w:ascii="Arial" w:hAnsi="Arial" w:cs="Arial"/>
                <w:sz w:val="20"/>
                <w:szCs w:val="20"/>
              </w:rPr>
            </w:pPr>
            <w:r>
              <w:rPr>
                <w:rFonts w:ascii="Arial" w:hAnsi="Arial" w:cs="Arial"/>
                <w:sz w:val="20"/>
                <w:szCs w:val="20"/>
              </w:rPr>
              <w:t>88</w:t>
            </w:r>
          </w:p>
        </w:tc>
        <w:tc>
          <w:tcPr>
            <w:tcW w:w="1023" w:type="dxa"/>
            <w:tcBorders>
              <w:bottom w:val="single" w:sz="4" w:space="0" w:color="auto"/>
            </w:tcBorders>
            <w:shd w:val="clear" w:color="auto" w:fill="auto"/>
          </w:tcPr>
          <w:p w14:paraId="24508FAE" w14:textId="77777777" w:rsidR="00991426" w:rsidRPr="00E35C1C" w:rsidRDefault="00991426" w:rsidP="00CA0D3D">
            <w:pPr>
              <w:rPr>
                <w:rFonts w:ascii="Arial" w:hAnsi="Arial" w:cs="Arial"/>
                <w:sz w:val="20"/>
                <w:szCs w:val="20"/>
              </w:rPr>
            </w:pPr>
            <w:r w:rsidRPr="00E35C1C">
              <w:rPr>
                <w:rFonts w:ascii="Arial" w:hAnsi="Arial" w:cs="Arial"/>
                <w:sz w:val="20"/>
                <w:szCs w:val="20"/>
              </w:rPr>
              <w:t>110</w:t>
            </w:r>
          </w:p>
        </w:tc>
        <w:tc>
          <w:tcPr>
            <w:tcW w:w="1023" w:type="dxa"/>
            <w:tcBorders>
              <w:bottom w:val="single" w:sz="4" w:space="0" w:color="auto"/>
            </w:tcBorders>
            <w:shd w:val="clear" w:color="auto" w:fill="auto"/>
          </w:tcPr>
          <w:p w14:paraId="41A4C3BA" w14:textId="77777777" w:rsidR="00991426" w:rsidRPr="00E35C1C" w:rsidRDefault="00991426" w:rsidP="00CA0D3D">
            <w:pPr>
              <w:rPr>
                <w:rFonts w:ascii="Arial" w:hAnsi="Arial" w:cs="Arial"/>
                <w:sz w:val="20"/>
                <w:szCs w:val="20"/>
              </w:rPr>
            </w:pPr>
            <w:r w:rsidRPr="00E35C1C">
              <w:rPr>
                <w:rFonts w:ascii="Arial" w:hAnsi="Arial" w:cs="Arial"/>
                <w:sz w:val="20"/>
                <w:szCs w:val="20"/>
              </w:rPr>
              <w:t>4500</w:t>
            </w:r>
          </w:p>
        </w:tc>
        <w:tc>
          <w:tcPr>
            <w:tcW w:w="1023" w:type="dxa"/>
            <w:tcBorders>
              <w:bottom w:val="single" w:sz="4" w:space="0" w:color="auto"/>
            </w:tcBorders>
            <w:shd w:val="clear" w:color="auto" w:fill="auto"/>
          </w:tcPr>
          <w:p w14:paraId="68F59547" w14:textId="77777777" w:rsidR="00991426" w:rsidRPr="00E35C1C" w:rsidRDefault="00991426" w:rsidP="00CA0D3D">
            <w:pPr>
              <w:rPr>
                <w:rFonts w:ascii="Arial" w:hAnsi="Arial" w:cs="Arial"/>
                <w:sz w:val="20"/>
                <w:szCs w:val="20"/>
              </w:rPr>
            </w:pPr>
            <w:r w:rsidRPr="00E35C1C">
              <w:rPr>
                <w:rFonts w:ascii="Arial" w:hAnsi="Arial" w:cs="Arial"/>
                <w:sz w:val="20"/>
                <w:szCs w:val="20"/>
              </w:rPr>
              <w:t>5399</w:t>
            </w:r>
          </w:p>
        </w:tc>
        <w:tc>
          <w:tcPr>
            <w:tcW w:w="1843" w:type="dxa"/>
            <w:tcBorders>
              <w:bottom w:val="single" w:sz="4" w:space="0" w:color="auto"/>
            </w:tcBorders>
            <w:shd w:val="clear" w:color="auto" w:fill="auto"/>
          </w:tcPr>
          <w:p w14:paraId="306CB569" w14:textId="77777777" w:rsidR="00991426" w:rsidRPr="00E35C1C" w:rsidRDefault="00991426" w:rsidP="00E35C1C">
            <w:pPr>
              <w:jc w:val="center"/>
              <w:rPr>
                <w:rFonts w:ascii="Arial" w:hAnsi="Arial" w:cs="Arial"/>
                <w:sz w:val="20"/>
                <w:szCs w:val="20"/>
              </w:rPr>
            </w:pPr>
            <w:r w:rsidRPr="00E35C1C">
              <w:rPr>
                <w:rFonts w:ascii="Arial" w:hAnsi="Arial" w:cs="Arial"/>
                <w:sz w:val="20"/>
                <w:szCs w:val="20"/>
              </w:rPr>
              <w:t>45</w:t>
            </w:r>
          </w:p>
        </w:tc>
      </w:tr>
      <w:tr w:rsidR="009F14ED" w:rsidRPr="00E35C1C" w14:paraId="5EEDD326" w14:textId="77777777" w:rsidTr="00E35C1C">
        <w:tc>
          <w:tcPr>
            <w:tcW w:w="1025" w:type="dxa"/>
            <w:tcBorders>
              <w:bottom w:val="single" w:sz="18" w:space="0" w:color="auto"/>
            </w:tcBorders>
            <w:shd w:val="clear" w:color="auto" w:fill="auto"/>
          </w:tcPr>
          <w:p w14:paraId="04B672D6" w14:textId="6C0158A6" w:rsidR="00991426" w:rsidRPr="00E35C1C" w:rsidRDefault="00C2541E" w:rsidP="00CA0D3D">
            <w:pPr>
              <w:rPr>
                <w:rFonts w:ascii="Arial" w:hAnsi="Arial" w:cs="Arial"/>
                <w:sz w:val="20"/>
                <w:szCs w:val="20"/>
              </w:rPr>
            </w:pPr>
            <w:r>
              <w:rPr>
                <w:rFonts w:ascii="Arial" w:hAnsi="Arial" w:cs="Arial"/>
                <w:sz w:val="20"/>
                <w:szCs w:val="20"/>
              </w:rPr>
              <w:t>LT515</w:t>
            </w:r>
          </w:p>
        </w:tc>
        <w:tc>
          <w:tcPr>
            <w:tcW w:w="1024" w:type="dxa"/>
            <w:tcBorders>
              <w:bottom w:val="single" w:sz="18" w:space="0" w:color="auto"/>
            </w:tcBorders>
            <w:shd w:val="clear" w:color="auto" w:fill="auto"/>
          </w:tcPr>
          <w:p w14:paraId="66602267" w14:textId="77777777" w:rsidR="00991426" w:rsidRPr="00E35C1C" w:rsidRDefault="00991426" w:rsidP="00CA0D3D">
            <w:pPr>
              <w:rPr>
                <w:rFonts w:ascii="Arial" w:hAnsi="Arial" w:cs="Arial"/>
                <w:sz w:val="20"/>
                <w:szCs w:val="20"/>
              </w:rPr>
            </w:pPr>
            <w:r w:rsidRPr="00E35C1C">
              <w:rPr>
                <w:rFonts w:ascii="Arial" w:hAnsi="Arial" w:cs="Arial"/>
                <w:sz w:val="20"/>
                <w:szCs w:val="20"/>
              </w:rPr>
              <w:t>Tier 1</w:t>
            </w:r>
          </w:p>
        </w:tc>
        <w:tc>
          <w:tcPr>
            <w:tcW w:w="972" w:type="dxa"/>
            <w:tcBorders>
              <w:bottom w:val="single" w:sz="18" w:space="0" w:color="auto"/>
            </w:tcBorders>
            <w:shd w:val="clear" w:color="auto" w:fill="auto"/>
          </w:tcPr>
          <w:p w14:paraId="1114BF22" w14:textId="0BEFAE28" w:rsidR="00991426" w:rsidRPr="00E35C1C" w:rsidRDefault="00C2541E" w:rsidP="00CA0D3D">
            <w:pPr>
              <w:rPr>
                <w:rFonts w:ascii="Arial" w:hAnsi="Arial" w:cs="Arial"/>
                <w:sz w:val="20"/>
                <w:szCs w:val="20"/>
              </w:rPr>
            </w:pPr>
            <w:r>
              <w:rPr>
                <w:rFonts w:ascii="Arial" w:hAnsi="Arial" w:cs="Arial"/>
                <w:sz w:val="20"/>
                <w:szCs w:val="20"/>
              </w:rPr>
              <w:t>6</w:t>
            </w:r>
            <w:r w:rsidR="004C543B">
              <w:rPr>
                <w:rFonts w:ascii="Arial" w:hAnsi="Arial" w:cs="Arial"/>
                <w:sz w:val="20"/>
                <w:szCs w:val="20"/>
              </w:rPr>
              <w:t>7</w:t>
            </w:r>
          </w:p>
        </w:tc>
        <w:tc>
          <w:tcPr>
            <w:tcW w:w="972" w:type="dxa"/>
            <w:tcBorders>
              <w:bottom w:val="single" w:sz="18" w:space="0" w:color="auto"/>
            </w:tcBorders>
            <w:shd w:val="clear" w:color="auto" w:fill="auto"/>
          </w:tcPr>
          <w:p w14:paraId="63F53C8A" w14:textId="027C0356" w:rsidR="00991426" w:rsidRPr="00E35C1C" w:rsidRDefault="009C1FCB" w:rsidP="00CA0D3D">
            <w:pPr>
              <w:rPr>
                <w:rFonts w:ascii="Arial" w:hAnsi="Arial" w:cs="Arial"/>
                <w:sz w:val="20"/>
                <w:szCs w:val="20"/>
              </w:rPr>
            </w:pPr>
            <w:r>
              <w:rPr>
                <w:rFonts w:ascii="Arial" w:hAnsi="Arial" w:cs="Arial"/>
                <w:sz w:val="20"/>
                <w:szCs w:val="20"/>
              </w:rPr>
              <w:t>88</w:t>
            </w:r>
          </w:p>
        </w:tc>
        <w:tc>
          <w:tcPr>
            <w:tcW w:w="1023" w:type="dxa"/>
            <w:tcBorders>
              <w:bottom w:val="single" w:sz="18" w:space="0" w:color="auto"/>
            </w:tcBorders>
            <w:shd w:val="clear" w:color="auto" w:fill="auto"/>
          </w:tcPr>
          <w:p w14:paraId="52205505" w14:textId="77777777" w:rsidR="00991426" w:rsidRPr="00E35C1C" w:rsidRDefault="00991426" w:rsidP="00CA0D3D">
            <w:pPr>
              <w:rPr>
                <w:rFonts w:ascii="Arial" w:hAnsi="Arial" w:cs="Arial"/>
                <w:sz w:val="20"/>
                <w:szCs w:val="20"/>
              </w:rPr>
            </w:pPr>
            <w:r w:rsidRPr="00E35C1C">
              <w:rPr>
                <w:rFonts w:ascii="Arial" w:hAnsi="Arial" w:cs="Arial"/>
                <w:sz w:val="20"/>
                <w:szCs w:val="20"/>
              </w:rPr>
              <w:t>110</w:t>
            </w:r>
          </w:p>
        </w:tc>
        <w:tc>
          <w:tcPr>
            <w:tcW w:w="1023" w:type="dxa"/>
            <w:tcBorders>
              <w:bottom w:val="single" w:sz="18" w:space="0" w:color="auto"/>
            </w:tcBorders>
            <w:shd w:val="clear" w:color="auto" w:fill="auto"/>
          </w:tcPr>
          <w:p w14:paraId="3D6A8752" w14:textId="77777777" w:rsidR="00991426" w:rsidRPr="00E35C1C" w:rsidRDefault="00991426" w:rsidP="00CA0D3D">
            <w:pPr>
              <w:rPr>
                <w:rFonts w:ascii="Arial" w:hAnsi="Arial" w:cs="Arial"/>
                <w:sz w:val="20"/>
                <w:szCs w:val="20"/>
              </w:rPr>
            </w:pPr>
            <w:r w:rsidRPr="00E35C1C">
              <w:rPr>
                <w:rFonts w:ascii="Arial" w:hAnsi="Arial" w:cs="Arial"/>
                <w:sz w:val="20"/>
                <w:szCs w:val="20"/>
              </w:rPr>
              <w:t>5400</w:t>
            </w:r>
          </w:p>
        </w:tc>
        <w:tc>
          <w:tcPr>
            <w:tcW w:w="1023" w:type="dxa"/>
            <w:tcBorders>
              <w:bottom w:val="single" w:sz="18" w:space="0" w:color="auto"/>
            </w:tcBorders>
            <w:shd w:val="clear" w:color="auto" w:fill="auto"/>
          </w:tcPr>
          <w:p w14:paraId="3AD61AD9" w14:textId="77777777" w:rsidR="00991426" w:rsidRPr="00E35C1C" w:rsidRDefault="00991426" w:rsidP="00CA0D3D">
            <w:pPr>
              <w:rPr>
                <w:rFonts w:ascii="Arial" w:hAnsi="Arial" w:cs="Arial"/>
                <w:sz w:val="20"/>
                <w:szCs w:val="20"/>
              </w:rPr>
            </w:pPr>
            <w:r w:rsidRPr="00E35C1C">
              <w:rPr>
                <w:rFonts w:ascii="Arial" w:hAnsi="Arial" w:cs="Arial"/>
                <w:sz w:val="20"/>
                <w:szCs w:val="20"/>
              </w:rPr>
              <w:t>6499</w:t>
            </w:r>
          </w:p>
        </w:tc>
        <w:tc>
          <w:tcPr>
            <w:tcW w:w="1843" w:type="dxa"/>
            <w:tcBorders>
              <w:bottom w:val="single" w:sz="18" w:space="0" w:color="auto"/>
            </w:tcBorders>
            <w:shd w:val="clear" w:color="auto" w:fill="auto"/>
          </w:tcPr>
          <w:p w14:paraId="42D0CA4D" w14:textId="77777777" w:rsidR="00991426" w:rsidRPr="00E35C1C" w:rsidRDefault="00991426" w:rsidP="00E35C1C">
            <w:pPr>
              <w:jc w:val="center"/>
              <w:rPr>
                <w:rFonts w:ascii="Arial" w:hAnsi="Arial" w:cs="Arial"/>
                <w:sz w:val="20"/>
                <w:szCs w:val="20"/>
              </w:rPr>
            </w:pPr>
            <w:r w:rsidRPr="00E35C1C">
              <w:rPr>
                <w:rFonts w:ascii="Arial" w:hAnsi="Arial" w:cs="Arial"/>
                <w:sz w:val="20"/>
                <w:szCs w:val="20"/>
              </w:rPr>
              <w:t>54</w:t>
            </w:r>
          </w:p>
        </w:tc>
      </w:tr>
      <w:tr w:rsidR="009F14ED" w:rsidRPr="00E35C1C" w14:paraId="3EB601E7" w14:textId="77777777" w:rsidTr="00E35C1C">
        <w:tc>
          <w:tcPr>
            <w:tcW w:w="1025" w:type="dxa"/>
            <w:tcBorders>
              <w:top w:val="single" w:sz="18" w:space="0" w:color="auto"/>
            </w:tcBorders>
            <w:shd w:val="clear" w:color="auto" w:fill="auto"/>
          </w:tcPr>
          <w:p w14:paraId="64CA3736" w14:textId="51ADD302" w:rsidR="00991426" w:rsidRPr="00E35C1C" w:rsidRDefault="00C2541E" w:rsidP="00CA0D3D">
            <w:pPr>
              <w:rPr>
                <w:rFonts w:ascii="Arial" w:hAnsi="Arial" w:cs="Arial"/>
                <w:sz w:val="20"/>
                <w:szCs w:val="20"/>
              </w:rPr>
            </w:pPr>
            <w:r>
              <w:rPr>
                <w:rFonts w:ascii="Arial" w:hAnsi="Arial" w:cs="Arial"/>
                <w:sz w:val="20"/>
                <w:szCs w:val="20"/>
              </w:rPr>
              <w:t>LT526</w:t>
            </w:r>
          </w:p>
        </w:tc>
        <w:tc>
          <w:tcPr>
            <w:tcW w:w="1024" w:type="dxa"/>
            <w:tcBorders>
              <w:top w:val="single" w:sz="18" w:space="0" w:color="auto"/>
            </w:tcBorders>
            <w:shd w:val="clear" w:color="auto" w:fill="auto"/>
          </w:tcPr>
          <w:p w14:paraId="3CB50DBA" w14:textId="77777777" w:rsidR="00991426" w:rsidRPr="00E35C1C" w:rsidRDefault="00991426" w:rsidP="00CA0D3D">
            <w:pPr>
              <w:rPr>
                <w:rFonts w:ascii="Arial" w:hAnsi="Arial" w:cs="Arial"/>
                <w:sz w:val="20"/>
                <w:szCs w:val="20"/>
              </w:rPr>
            </w:pPr>
            <w:r w:rsidRPr="00E35C1C">
              <w:rPr>
                <w:rFonts w:ascii="Arial" w:hAnsi="Arial" w:cs="Arial"/>
                <w:sz w:val="20"/>
                <w:szCs w:val="20"/>
              </w:rPr>
              <w:t>Tier 2</w:t>
            </w:r>
          </w:p>
        </w:tc>
        <w:tc>
          <w:tcPr>
            <w:tcW w:w="972" w:type="dxa"/>
            <w:tcBorders>
              <w:top w:val="single" w:sz="18" w:space="0" w:color="auto"/>
            </w:tcBorders>
            <w:shd w:val="clear" w:color="auto" w:fill="auto"/>
          </w:tcPr>
          <w:p w14:paraId="08DC5CC2" w14:textId="5C484221" w:rsidR="00991426" w:rsidRPr="00E35C1C" w:rsidRDefault="00C2541E" w:rsidP="00CA0D3D">
            <w:pPr>
              <w:rPr>
                <w:rFonts w:ascii="Arial" w:hAnsi="Arial" w:cs="Arial"/>
                <w:sz w:val="20"/>
                <w:szCs w:val="20"/>
              </w:rPr>
            </w:pPr>
            <w:r>
              <w:rPr>
                <w:rFonts w:ascii="Arial" w:hAnsi="Arial" w:cs="Arial"/>
                <w:sz w:val="20"/>
                <w:szCs w:val="20"/>
              </w:rPr>
              <w:t>5</w:t>
            </w:r>
            <w:r w:rsidR="004C543B">
              <w:rPr>
                <w:rFonts w:ascii="Arial" w:hAnsi="Arial" w:cs="Arial"/>
                <w:sz w:val="20"/>
                <w:szCs w:val="20"/>
              </w:rPr>
              <w:t>8</w:t>
            </w:r>
          </w:p>
        </w:tc>
        <w:tc>
          <w:tcPr>
            <w:tcW w:w="972" w:type="dxa"/>
            <w:tcBorders>
              <w:top w:val="single" w:sz="18" w:space="0" w:color="auto"/>
            </w:tcBorders>
            <w:shd w:val="clear" w:color="auto" w:fill="auto"/>
          </w:tcPr>
          <w:p w14:paraId="08DF3D32" w14:textId="23F431B3" w:rsidR="00991426" w:rsidRPr="00E35C1C" w:rsidRDefault="009C1FCB" w:rsidP="00CA0D3D">
            <w:pPr>
              <w:rPr>
                <w:rFonts w:ascii="Arial" w:hAnsi="Arial" w:cs="Arial"/>
                <w:sz w:val="20"/>
                <w:szCs w:val="20"/>
              </w:rPr>
            </w:pPr>
            <w:r>
              <w:rPr>
                <w:rFonts w:ascii="Arial" w:hAnsi="Arial" w:cs="Arial"/>
                <w:sz w:val="20"/>
                <w:szCs w:val="20"/>
              </w:rPr>
              <w:t>88</w:t>
            </w:r>
          </w:p>
        </w:tc>
        <w:tc>
          <w:tcPr>
            <w:tcW w:w="1023" w:type="dxa"/>
            <w:tcBorders>
              <w:top w:val="single" w:sz="18" w:space="0" w:color="auto"/>
            </w:tcBorders>
            <w:shd w:val="clear" w:color="auto" w:fill="auto"/>
          </w:tcPr>
          <w:p w14:paraId="773B5BE9" w14:textId="77777777" w:rsidR="00991426" w:rsidRPr="00E35C1C" w:rsidRDefault="00991426" w:rsidP="00CA0D3D">
            <w:pPr>
              <w:rPr>
                <w:rFonts w:ascii="Arial" w:hAnsi="Arial" w:cs="Arial"/>
                <w:sz w:val="20"/>
                <w:szCs w:val="20"/>
              </w:rPr>
            </w:pPr>
            <w:r w:rsidRPr="00E35C1C">
              <w:rPr>
                <w:rFonts w:ascii="Arial" w:hAnsi="Arial" w:cs="Arial"/>
                <w:sz w:val="20"/>
                <w:szCs w:val="20"/>
              </w:rPr>
              <w:t>130</w:t>
            </w:r>
          </w:p>
        </w:tc>
        <w:tc>
          <w:tcPr>
            <w:tcW w:w="1023" w:type="dxa"/>
            <w:tcBorders>
              <w:top w:val="single" w:sz="18" w:space="0" w:color="auto"/>
            </w:tcBorders>
            <w:shd w:val="clear" w:color="auto" w:fill="auto"/>
          </w:tcPr>
          <w:p w14:paraId="3B41F50D" w14:textId="77777777" w:rsidR="00991426" w:rsidRPr="00E35C1C" w:rsidRDefault="00991426" w:rsidP="00CA0D3D">
            <w:pPr>
              <w:rPr>
                <w:rFonts w:ascii="Arial" w:hAnsi="Arial" w:cs="Arial"/>
                <w:sz w:val="20"/>
                <w:szCs w:val="20"/>
              </w:rPr>
            </w:pPr>
            <w:r w:rsidRPr="00E35C1C">
              <w:rPr>
                <w:rFonts w:ascii="Arial" w:hAnsi="Arial" w:cs="Arial"/>
                <w:sz w:val="20"/>
                <w:szCs w:val="20"/>
              </w:rPr>
              <w:t>4500</w:t>
            </w:r>
          </w:p>
        </w:tc>
        <w:tc>
          <w:tcPr>
            <w:tcW w:w="1023" w:type="dxa"/>
            <w:tcBorders>
              <w:top w:val="single" w:sz="18" w:space="0" w:color="auto"/>
            </w:tcBorders>
            <w:shd w:val="clear" w:color="auto" w:fill="auto"/>
          </w:tcPr>
          <w:p w14:paraId="6C62D3DA" w14:textId="77777777" w:rsidR="00991426" w:rsidRPr="00E35C1C" w:rsidRDefault="00991426" w:rsidP="00CA0D3D">
            <w:pPr>
              <w:rPr>
                <w:rFonts w:ascii="Arial" w:hAnsi="Arial" w:cs="Arial"/>
                <w:sz w:val="20"/>
                <w:szCs w:val="20"/>
              </w:rPr>
            </w:pPr>
            <w:r w:rsidRPr="00E35C1C">
              <w:rPr>
                <w:rFonts w:ascii="Arial" w:hAnsi="Arial" w:cs="Arial"/>
                <w:sz w:val="20"/>
                <w:szCs w:val="20"/>
              </w:rPr>
              <w:t>5399</w:t>
            </w:r>
          </w:p>
        </w:tc>
        <w:tc>
          <w:tcPr>
            <w:tcW w:w="1843" w:type="dxa"/>
            <w:tcBorders>
              <w:top w:val="single" w:sz="18" w:space="0" w:color="auto"/>
            </w:tcBorders>
            <w:shd w:val="clear" w:color="auto" w:fill="auto"/>
          </w:tcPr>
          <w:p w14:paraId="2666541F" w14:textId="77777777" w:rsidR="00991426" w:rsidRPr="00E35C1C" w:rsidRDefault="00991426" w:rsidP="00E35C1C">
            <w:pPr>
              <w:jc w:val="center"/>
              <w:rPr>
                <w:rFonts w:ascii="Arial" w:hAnsi="Arial" w:cs="Arial"/>
                <w:sz w:val="20"/>
                <w:szCs w:val="20"/>
              </w:rPr>
            </w:pPr>
            <w:r w:rsidRPr="00E35C1C">
              <w:rPr>
                <w:rFonts w:ascii="Arial" w:hAnsi="Arial" w:cs="Arial"/>
                <w:sz w:val="20"/>
                <w:szCs w:val="20"/>
              </w:rPr>
              <w:t>38</w:t>
            </w:r>
          </w:p>
        </w:tc>
      </w:tr>
      <w:tr w:rsidR="009F14ED" w:rsidRPr="00E35C1C" w14:paraId="60B680C3" w14:textId="77777777" w:rsidTr="00E35C1C">
        <w:tc>
          <w:tcPr>
            <w:tcW w:w="1025" w:type="dxa"/>
            <w:shd w:val="clear" w:color="auto" w:fill="auto"/>
          </w:tcPr>
          <w:p w14:paraId="6773D02F" w14:textId="39937EAE" w:rsidR="00991426" w:rsidRPr="00E35C1C" w:rsidRDefault="00C2541E" w:rsidP="009C1FCB">
            <w:pPr>
              <w:rPr>
                <w:rFonts w:ascii="Arial" w:hAnsi="Arial" w:cs="Arial"/>
                <w:sz w:val="20"/>
                <w:szCs w:val="20"/>
              </w:rPr>
            </w:pPr>
            <w:r>
              <w:rPr>
                <w:rFonts w:ascii="Arial" w:hAnsi="Arial" w:cs="Arial"/>
                <w:sz w:val="20"/>
                <w:szCs w:val="20"/>
              </w:rPr>
              <w:t>L</w:t>
            </w:r>
            <w:r w:rsidR="009C1FCB">
              <w:rPr>
                <w:rFonts w:ascii="Arial" w:hAnsi="Arial" w:cs="Arial"/>
                <w:sz w:val="20"/>
                <w:szCs w:val="20"/>
              </w:rPr>
              <w:t>T</w:t>
            </w:r>
            <w:r>
              <w:rPr>
                <w:rFonts w:ascii="Arial" w:hAnsi="Arial" w:cs="Arial"/>
                <w:sz w:val="20"/>
                <w:szCs w:val="20"/>
              </w:rPr>
              <w:t>527</w:t>
            </w:r>
          </w:p>
        </w:tc>
        <w:tc>
          <w:tcPr>
            <w:tcW w:w="1024" w:type="dxa"/>
            <w:shd w:val="clear" w:color="auto" w:fill="auto"/>
          </w:tcPr>
          <w:p w14:paraId="61069009" w14:textId="77777777" w:rsidR="00991426" w:rsidRPr="00E35C1C" w:rsidRDefault="00991426" w:rsidP="00CA0D3D">
            <w:pPr>
              <w:rPr>
                <w:rFonts w:ascii="Arial" w:hAnsi="Arial" w:cs="Arial"/>
                <w:sz w:val="20"/>
                <w:szCs w:val="20"/>
              </w:rPr>
            </w:pPr>
            <w:r w:rsidRPr="00E35C1C">
              <w:rPr>
                <w:rFonts w:ascii="Arial" w:hAnsi="Arial" w:cs="Arial"/>
                <w:sz w:val="20"/>
                <w:szCs w:val="20"/>
              </w:rPr>
              <w:t>Tier 2</w:t>
            </w:r>
          </w:p>
        </w:tc>
        <w:tc>
          <w:tcPr>
            <w:tcW w:w="972" w:type="dxa"/>
            <w:shd w:val="clear" w:color="auto" w:fill="auto"/>
          </w:tcPr>
          <w:p w14:paraId="53D097DD" w14:textId="22C7AA55" w:rsidR="00991426" w:rsidRPr="00E35C1C" w:rsidRDefault="00C2541E" w:rsidP="00CA0D3D">
            <w:pPr>
              <w:rPr>
                <w:rFonts w:ascii="Arial" w:hAnsi="Arial" w:cs="Arial"/>
                <w:sz w:val="20"/>
                <w:szCs w:val="20"/>
              </w:rPr>
            </w:pPr>
            <w:r>
              <w:rPr>
                <w:rFonts w:ascii="Arial" w:hAnsi="Arial" w:cs="Arial"/>
                <w:sz w:val="20"/>
                <w:szCs w:val="20"/>
              </w:rPr>
              <w:t>6</w:t>
            </w:r>
            <w:r w:rsidR="004C543B">
              <w:rPr>
                <w:rFonts w:ascii="Arial" w:hAnsi="Arial" w:cs="Arial"/>
                <w:sz w:val="20"/>
                <w:szCs w:val="20"/>
              </w:rPr>
              <w:t>7</w:t>
            </w:r>
          </w:p>
        </w:tc>
        <w:tc>
          <w:tcPr>
            <w:tcW w:w="972" w:type="dxa"/>
            <w:shd w:val="clear" w:color="auto" w:fill="auto"/>
          </w:tcPr>
          <w:p w14:paraId="045ED706" w14:textId="31DD840A" w:rsidR="00991426" w:rsidRPr="00E35C1C" w:rsidRDefault="009C1FCB" w:rsidP="00CA0D3D">
            <w:pPr>
              <w:rPr>
                <w:rFonts w:ascii="Arial" w:hAnsi="Arial" w:cs="Arial"/>
                <w:sz w:val="20"/>
                <w:szCs w:val="20"/>
              </w:rPr>
            </w:pPr>
            <w:r>
              <w:rPr>
                <w:rFonts w:ascii="Arial" w:hAnsi="Arial" w:cs="Arial"/>
                <w:sz w:val="20"/>
                <w:szCs w:val="20"/>
              </w:rPr>
              <w:t>88</w:t>
            </w:r>
          </w:p>
        </w:tc>
        <w:tc>
          <w:tcPr>
            <w:tcW w:w="1023" w:type="dxa"/>
            <w:shd w:val="clear" w:color="auto" w:fill="auto"/>
          </w:tcPr>
          <w:p w14:paraId="456BBD92" w14:textId="77777777" w:rsidR="00991426" w:rsidRPr="00E35C1C" w:rsidRDefault="00991426" w:rsidP="00CA0D3D">
            <w:pPr>
              <w:rPr>
                <w:rFonts w:ascii="Arial" w:hAnsi="Arial" w:cs="Arial"/>
                <w:sz w:val="20"/>
                <w:szCs w:val="20"/>
              </w:rPr>
            </w:pPr>
            <w:r w:rsidRPr="00E35C1C">
              <w:rPr>
                <w:rFonts w:ascii="Arial" w:hAnsi="Arial" w:cs="Arial"/>
                <w:sz w:val="20"/>
                <w:szCs w:val="20"/>
              </w:rPr>
              <w:t>130</w:t>
            </w:r>
          </w:p>
        </w:tc>
        <w:tc>
          <w:tcPr>
            <w:tcW w:w="1023" w:type="dxa"/>
            <w:shd w:val="clear" w:color="auto" w:fill="auto"/>
          </w:tcPr>
          <w:p w14:paraId="51547350" w14:textId="77777777" w:rsidR="00991426" w:rsidRPr="00E35C1C" w:rsidRDefault="00991426" w:rsidP="00CA0D3D">
            <w:pPr>
              <w:rPr>
                <w:rFonts w:ascii="Arial" w:hAnsi="Arial" w:cs="Arial"/>
                <w:sz w:val="20"/>
                <w:szCs w:val="20"/>
              </w:rPr>
            </w:pPr>
            <w:r w:rsidRPr="00E35C1C">
              <w:rPr>
                <w:rFonts w:ascii="Arial" w:hAnsi="Arial" w:cs="Arial"/>
                <w:sz w:val="20"/>
                <w:szCs w:val="20"/>
              </w:rPr>
              <w:t>5400</w:t>
            </w:r>
          </w:p>
        </w:tc>
        <w:tc>
          <w:tcPr>
            <w:tcW w:w="1023" w:type="dxa"/>
            <w:shd w:val="clear" w:color="auto" w:fill="auto"/>
          </w:tcPr>
          <w:p w14:paraId="2FD8A5C5" w14:textId="77777777" w:rsidR="00991426" w:rsidRPr="00E35C1C" w:rsidRDefault="00991426" w:rsidP="00CA0D3D">
            <w:pPr>
              <w:rPr>
                <w:rFonts w:ascii="Arial" w:hAnsi="Arial" w:cs="Arial"/>
                <w:sz w:val="20"/>
                <w:szCs w:val="20"/>
              </w:rPr>
            </w:pPr>
            <w:r w:rsidRPr="00E35C1C">
              <w:rPr>
                <w:rFonts w:ascii="Arial" w:hAnsi="Arial" w:cs="Arial"/>
                <w:sz w:val="20"/>
                <w:szCs w:val="20"/>
              </w:rPr>
              <w:t>6499</w:t>
            </w:r>
          </w:p>
        </w:tc>
        <w:tc>
          <w:tcPr>
            <w:tcW w:w="1843" w:type="dxa"/>
            <w:shd w:val="clear" w:color="auto" w:fill="auto"/>
          </w:tcPr>
          <w:p w14:paraId="255C4B03" w14:textId="77777777" w:rsidR="00991426" w:rsidRPr="00E35C1C" w:rsidRDefault="00991426" w:rsidP="00E35C1C">
            <w:pPr>
              <w:jc w:val="center"/>
              <w:rPr>
                <w:rFonts w:ascii="Arial" w:hAnsi="Arial" w:cs="Arial"/>
                <w:sz w:val="20"/>
                <w:szCs w:val="20"/>
              </w:rPr>
            </w:pPr>
            <w:r w:rsidRPr="00E35C1C">
              <w:rPr>
                <w:rFonts w:ascii="Arial" w:hAnsi="Arial" w:cs="Arial"/>
                <w:sz w:val="20"/>
                <w:szCs w:val="20"/>
              </w:rPr>
              <w:t>46</w:t>
            </w:r>
          </w:p>
        </w:tc>
      </w:tr>
    </w:tbl>
    <w:p w14:paraId="5476AE67" w14:textId="77777777" w:rsidR="00991426" w:rsidRPr="00AC48FA" w:rsidRDefault="00991426" w:rsidP="00991426">
      <w:pPr>
        <w:rPr>
          <w:rFonts w:ascii="Arial" w:hAnsi="Arial" w:cs="Arial"/>
          <w:sz w:val="20"/>
          <w:szCs w:val="20"/>
        </w:rPr>
      </w:pPr>
    </w:p>
    <w:p w14:paraId="680D7F08" w14:textId="0A4CEDFF" w:rsidR="00991426" w:rsidRDefault="00991426" w:rsidP="00991426">
      <w:pPr>
        <w:keepNext/>
        <w:rPr>
          <w:rFonts w:ascii="Arial" w:hAnsi="Arial" w:cs="Arial"/>
          <w:sz w:val="20"/>
          <w:szCs w:val="20"/>
        </w:rPr>
      </w:pPr>
      <w:r w:rsidRPr="00AC48FA">
        <w:rPr>
          <w:rFonts w:ascii="Arial" w:hAnsi="Arial" w:cs="Arial"/>
          <w:sz w:val="20"/>
          <w:szCs w:val="20"/>
        </w:rPr>
        <w:t>A customer looking for an LED product to replace a 3-lamp fluorescent fixture under the measure codes defined by wattage bins in Table 1</w:t>
      </w:r>
      <w:r w:rsidR="001E19D1">
        <w:rPr>
          <w:rFonts w:ascii="Arial" w:hAnsi="Arial" w:cs="Arial"/>
          <w:sz w:val="20"/>
          <w:szCs w:val="20"/>
        </w:rPr>
        <w:t>2</w:t>
      </w:r>
      <w:r w:rsidRPr="00AC48FA">
        <w:rPr>
          <w:rFonts w:ascii="Arial" w:hAnsi="Arial" w:cs="Arial"/>
          <w:sz w:val="20"/>
          <w:szCs w:val="20"/>
        </w:rPr>
        <w:t>, must determine equivalent service products by calculating the lumens from the wattage ranges shown for each Tier.  In Table</w:t>
      </w:r>
      <w:r w:rsidR="001E19D1">
        <w:rPr>
          <w:rFonts w:ascii="Arial" w:hAnsi="Arial" w:cs="Arial"/>
          <w:sz w:val="20"/>
          <w:szCs w:val="20"/>
        </w:rPr>
        <w:t xml:space="preserve"> 13</w:t>
      </w:r>
      <w:r w:rsidRPr="00AC48FA">
        <w:rPr>
          <w:rFonts w:ascii="Arial" w:hAnsi="Arial" w:cs="Arial"/>
          <w:sz w:val="20"/>
          <w:szCs w:val="20"/>
        </w:rPr>
        <w:t>, with Lumen Bins, they can decide the light output they need and it will match both Tiers similarly.</w:t>
      </w:r>
    </w:p>
    <w:p w14:paraId="783B40CE" w14:textId="77777777" w:rsidR="00991426" w:rsidRPr="00AC48FA" w:rsidRDefault="00991426" w:rsidP="00991426">
      <w:pPr>
        <w:keepNext/>
        <w:rPr>
          <w:rFonts w:ascii="Arial" w:hAnsi="Arial" w:cs="Arial"/>
          <w:sz w:val="20"/>
          <w:szCs w:val="20"/>
        </w:rPr>
      </w:pPr>
    </w:p>
    <w:p w14:paraId="68CF3909" w14:textId="77777777" w:rsidR="00991426" w:rsidRPr="00AC48FA" w:rsidRDefault="00991426" w:rsidP="00991426">
      <w:pPr>
        <w:rPr>
          <w:rFonts w:ascii="Arial" w:hAnsi="Arial" w:cs="Arial"/>
          <w:bCs/>
          <w:sz w:val="20"/>
          <w:szCs w:val="20"/>
        </w:rPr>
      </w:pPr>
      <w:r w:rsidRPr="00AC48FA">
        <w:rPr>
          <w:rFonts w:ascii="Arial" w:hAnsi="Arial" w:cs="Arial"/>
          <w:bCs/>
          <w:sz w:val="20"/>
          <w:szCs w:val="20"/>
        </w:rPr>
        <w:t>PG&amp;E would seek to align rebate levels with increasing efficacy levels to encourage the desired outcome that program participants will determine the amount of light they need first, and then compare the options between Tier 1 and Tier 2, potentially selecting Tier 2 products based on higher rebate levels.</w:t>
      </w:r>
    </w:p>
    <w:bookmarkEnd w:id="124"/>
    <w:p w14:paraId="10196191" w14:textId="3A6828CE" w:rsidR="00661E36" w:rsidRPr="00661E36" w:rsidRDefault="00661E36" w:rsidP="00AC48FA">
      <w:pPr>
        <w:rPr>
          <w:rFonts w:ascii="Arial" w:hAnsi="Arial" w:cs="Arial"/>
          <w:sz w:val="20"/>
          <w:szCs w:val="20"/>
        </w:rPr>
      </w:pPr>
    </w:p>
    <w:p w14:paraId="3284322D" w14:textId="0DD5241D" w:rsidR="00CF1DF8" w:rsidRDefault="00B0079A" w:rsidP="006E3439">
      <w:pPr>
        <w:rPr>
          <w:rFonts w:ascii="Arial" w:hAnsi="Arial" w:cs="Arial"/>
          <w:sz w:val="20"/>
          <w:szCs w:val="20"/>
        </w:rPr>
      </w:pPr>
      <w:r>
        <w:rPr>
          <w:rFonts w:ascii="Arial" w:hAnsi="Arial" w:cs="Arial"/>
          <w:b/>
          <w:sz w:val="20"/>
          <w:szCs w:val="20"/>
        </w:rPr>
        <w:t>Measure Tiers</w:t>
      </w:r>
      <w:r w:rsidRPr="00B0079A">
        <w:rPr>
          <w:rFonts w:ascii="Arial" w:hAnsi="Arial" w:cs="Arial"/>
          <w:b/>
          <w:sz w:val="20"/>
          <w:szCs w:val="20"/>
        </w:rPr>
        <w:t>:</w:t>
      </w:r>
      <w:r>
        <w:rPr>
          <w:rFonts w:ascii="Arial" w:hAnsi="Arial" w:cs="Arial"/>
          <w:sz w:val="20"/>
          <w:szCs w:val="20"/>
        </w:rPr>
        <w:t xml:space="preserve">  The measures are structured with two tiers.  </w:t>
      </w:r>
    </w:p>
    <w:p w14:paraId="3CB32630" w14:textId="296E2367" w:rsidR="00CF1DF8" w:rsidRDefault="00B0079A" w:rsidP="006666F0">
      <w:pPr>
        <w:pStyle w:val="ListParagraph"/>
        <w:numPr>
          <w:ilvl w:val="0"/>
          <w:numId w:val="21"/>
        </w:numPr>
        <w:rPr>
          <w:rFonts w:ascii="Arial" w:hAnsi="Arial" w:cs="Arial"/>
          <w:sz w:val="20"/>
          <w:szCs w:val="20"/>
        </w:rPr>
      </w:pPr>
      <w:r w:rsidRPr="00CF1DF8">
        <w:rPr>
          <w:rFonts w:ascii="Arial" w:hAnsi="Arial" w:cs="Arial"/>
          <w:sz w:val="20"/>
          <w:szCs w:val="20"/>
        </w:rPr>
        <w:t xml:space="preserve">Tier 1 contains lower efficacies floors than Tier 2 to accommodate </w:t>
      </w:r>
      <w:r w:rsidR="00CF1DF8" w:rsidRPr="00CF1DF8">
        <w:rPr>
          <w:rFonts w:ascii="Arial" w:hAnsi="Arial" w:cs="Arial"/>
          <w:sz w:val="20"/>
          <w:szCs w:val="20"/>
        </w:rPr>
        <w:t xml:space="preserve">current </w:t>
      </w:r>
      <w:r w:rsidRPr="00CF1DF8">
        <w:rPr>
          <w:rFonts w:ascii="Arial" w:hAnsi="Arial" w:cs="Arial"/>
          <w:sz w:val="20"/>
          <w:szCs w:val="20"/>
        </w:rPr>
        <w:t>project</w:t>
      </w:r>
      <w:r w:rsidR="00CF1DF8" w:rsidRPr="00CF1DF8">
        <w:rPr>
          <w:rFonts w:ascii="Arial" w:hAnsi="Arial" w:cs="Arial"/>
          <w:sz w:val="20"/>
          <w:szCs w:val="20"/>
        </w:rPr>
        <w:t xml:space="preserve">s in the pipeline.  The efficacy floor for Tier 1 was </w:t>
      </w:r>
      <w:r w:rsidR="0072055A">
        <w:rPr>
          <w:rFonts w:ascii="Arial" w:hAnsi="Arial" w:cs="Arial"/>
          <w:sz w:val="20"/>
          <w:szCs w:val="20"/>
        </w:rPr>
        <w:t>derived</w:t>
      </w:r>
      <w:r w:rsidR="00CF1DF8" w:rsidRPr="00CF1DF8">
        <w:rPr>
          <w:rFonts w:ascii="Arial" w:hAnsi="Arial" w:cs="Arial"/>
          <w:sz w:val="20"/>
          <w:szCs w:val="20"/>
        </w:rPr>
        <w:t xml:space="preserve"> from the 50</w:t>
      </w:r>
      <w:r w:rsidR="00CF1DF8" w:rsidRPr="00CF1DF8">
        <w:rPr>
          <w:rFonts w:ascii="Arial" w:hAnsi="Arial" w:cs="Arial"/>
          <w:sz w:val="20"/>
          <w:szCs w:val="20"/>
          <w:vertAlign w:val="superscript"/>
        </w:rPr>
        <w:t>th</w:t>
      </w:r>
      <w:r w:rsidR="00CF1DF8" w:rsidRPr="00CF1DF8">
        <w:rPr>
          <w:rFonts w:ascii="Arial" w:hAnsi="Arial" w:cs="Arial"/>
          <w:sz w:val="20"/>
          <w:szCs w:val="20"/>
        </w:rPr>
        <w:t xml:space="preserve"> percentile of the </w:t>
      </w:r>
      <w:r w:rsidR="002C3514" w:rsidRPr="00CF1DF8">
        <w:rPr>
          <w:rFonts w:ascii="Arial" w:hAnsi="Arial" w:cs="Arial"/>
          <w:sz w:val="20"/>
          <w:szCs w:val="20"/>
        </w:rPr>
        <w:t>Lighting Facts</w:t>
      </w:r>
      <w:r w:rsidR="00CF1DF8" w:rsidRPr="00CF1DF8">
        <w:rPr>
          <w:rFonts w:ascii="Arial" w:hAnsi="Arial" w:cs="Arial"/>
          <w:sz w:val="20"/>
          <w:szCs w:val="20"/>
        </w:rPr>
        <w:t xml:space="preserve"> database to represent top half of the market</w:t>
      </w:r>
      <w:r w:rsidR="002676A5">
        <w:rPr>
          <w:rFonts w:ascii="Arial" w:hAnsi="Arial" w:cs="Arial"/>
          <w:sz w:val="20"/>
          <w:szCs w:val="20"/>
        </w:rPr>
        <w:t xml:space="preserve"> and serve</w:t>
      </w:r>
      <w:r w:rsidR="0072055A">
        <w:rPr>
          <w:rFonts w:ascii="Arial" w:hAnsi="Arial" w:cs="Arial"/>
          <w:sz w:val="20"/>
          <w:szCs w:val="20"/>
        </w:rPr>
        <w:t>s as an eligibility requirement</w:t>
      </w:r>
      <w:r w:rsidR="00CF1DF8" w:rsidRPr="00CF1DF8">
        <w:rPr>
          <w:rFonts w:ascii="Arial" w:hAnsi="Arial" w:cs="Arial"/>
          <w:sz w:val="20"/>
          <w:szCs w:val="20"/>
        </w:rPr>
        <w:t xml:space="preserve">.  </w:t>
      </w:r>
      <w:r w:rsidR="00CF1DF8">
        <w:rPr>
          <w:rFonts w:ascii="Arial" w:hAnsi="Arial" w:cs="Arial"/>
          <w:sz w:val="20"/>
          <w:szCs w:val="20"/>
        </w:rPr>
        <w:t>The measure case efficacy</w:t>
      </w:r>
      <w:r w:rsidR="007E059E">
        <w:rPr>
          <w:rFonts w:ascii="Arial" w:hAnsi="Arial" w:cs="Arial"/>
          <w:sz w:val="20"/>
          <w:szCs w:val="20"/>
        </w:rPr>
        <w:t xml:space="preserve"> used in the savings calculations</w:t>
      </w:r>
      <w:r w:rsidR="00CF1DF8">
        <w:rPr>
          <w:rFonts w:ascii="Arial" w:hAnsi="Arial" w:cs="Arial"/>
          <w:sz w:val="20"/>
          <w:szCs w:val="20"/>
        </w:rPr>
        <w:t xml:space="preserve"> </w:t>
      </w:r>
      <w:r w:rsidR="007E059E">
        <w:rPr>
          <w:rFonts w:ascii="Arial" w:hAnsi="Arial" w:cs="Arial"/>
          <w:sz w:val="20"/>
          <w:szCs w:val="20"/>
        </w:rPr>
        <w:t>i</w:t>
      </w:r>
      <w:r w:rsidR="00CF1DF8">
        <w:rPr>
          <w:rFonts w:ascii="Arial" w:hAnsi="Arial" w:cs="Arial"/>
          <w:sz w:val="20"/>
          <w:szCs w:val="20"/>
        </w:rPr>
        <w:t>s the mid-point between the 50</w:t>
      </w:r>
      <w:r w:rsidR="00CF1DF8" w:rsidRPr="00CF1DF8">
        <w:rPr>
          <w:rFonts w:ascii="Arial" w:hAnsi="Arial" w:cs="Arial"/>
          <w:sz w:val="20"/>
          <w:szCs w:val="20"/>
          <w:vertAlign w:val="superscript"/>
        </w:rPr>
        <w:t>th</w:t>
      </w:r>
      <w:r w:rsidR="00CF1DF8">
        <w:rPr>
          <w:rFonts w:ascii="Arial" w:hAnsi="Arial" w:cs="Arial"/>
          <w:sz w:val="20"/>
          <w:szCs w:val="20"/>
        </w:rPr>
        <w:t xml:space="preserve"> and 75</w:t>
      </w:r>
      <w:r w:rsidR="00CF1DF8" w:rsidRPr="00CF1DF8">
        <w:rPr>
          <w:rFonts w:ascii="Arial" w:hAnsi="Arial" w:cs="Arial"/>
          <w:sz w:val="20"/>
          <w:szCs w:val="20"/>
          <w:vertAlign w:val="superscript"/>
        </w:rPr>
        <w:t>th</w:t>
      </w:r>
      <w:r w:rsidR="00CF1DF8">
        <w:rPr>
          <w:rFonts w:ascii="Arial" w:hAnsi="Arial" w:cs="Arial"/>
          <w:sz w:val="20"/>
          <w:szCs w:val="20"/>
        </w:rPr>
        <w:t xml:space="preserve"> </w:t>
      </w:r>
      <w:r w:rsidR="007E059E">
        <w:rPr>
          <w:rFonts w:ascii="Arial" w:hAnsi="Arial" w:cs="Arial"/>
          <w:sz w:val="20"/>
          <w:szCs w:val="20"/>
        </w:rPr>
        <w:t>percentile:  62</w:t>
      </w:r>
      <w:r w:rsidR="00CF1DF8">
        <w:rPr>
          <w:rFonts w:ascii="Arial" w:hAnsi="Arial" w:cs="Arial"/>
          <w:sz w:val="20"/>
          <w:szCs w:val="20"/>
        </w:rPr>
        <w:t>.5</w:t>
      </w:r>
      <w:r w:rsidR="00CF1DF8" w:rsidRPr="00CF1DF8">
        <w:rPr>
          <w:rFonts w:ascii="Arial" w:hAnsi="Arial" w:cs="Arial"/>
          <w:sz w:val="20"/>
          <w:szCs w:val="20"/>
          <w:vertAlign w:val="superscript"/>
        </w:rPr>
        <w:t>th</w:t>
      </w:r>
      <w:r w:rsidR="00CF1DF8">
        <w:rPr>
          <w:rFonts w:ascii="Arial" w:hAnsi="Arial" w:cs="Arial"/>
          <w:sz w:val="20"/>
          <w:szCs w:val="20"/>
        </w:rPr>
        <w:t xml:space="preserve"> percentil</w:t>
      </w:r>
      <w:r w:rsidR="00777139">
        <w:rPr>
          <w:rFonts w:ascii="Arial" w:hAnsi="Arial" w:cs="Arial"/>
          <w:sz w:val="20"/>
          <w:szCs w:val="20"/>
        </w:rPr>
        <w:t>e.</w:t>
      </w:r>
    </w:p>
    <w:p w14:paraId="5C6C34F3" w14:textId="39FAB469" w:rsidR="004306C2" w:rsidRPr="00CF1DF8" w:rsidRDefault="00CF1DF8" w:rsidP="006666F0">
      <w:pPr>
        <w:pStyle w:val="ListParagraph"/>
        <w:numPr>
          <w:ilvl w:val="0"/>
          <w:numId w:val="21"/>
        </w:numPr>
        <w:rPr>
          <w:rFonts w:ascii="Arial" w:hAnsi="Arial" w:cs="Arial"/>
          <w:sz w:val="20"/>
          <w:szCs w:val="20"/>
        </w:rPr>
      </w:pPr>
      <w:r w:rsidRPr="00CF1DF8">
        <w:rPr>
          <w:rFonts w:ascii="Arial" w:hAnsi="Arial" w:cs="Arial"/>
          <w:sz w:val="20"/>
          <w:szCs w:val="20"/>
        </w:rPr>
        <w:t>Tier 2 is the goal and focus for Programs to drive higher efficiency products into the market for market transformation.</w:t>
      </w:r>
      <w:r w:rsidR="0072055A">
        <w:rPr>
          <w:rFonts w:ascii="Arial" w:hAnsi="Arial" w:cs="Arial"/>
          <w:sz w:val="20"/>
          <w:szCs w:val="20"/>
        </w:rPr>
        <w:t xml:space="preserve">  The efficacy floor for Tier 2</w:t>
      </w:r>
      <w:r w:rsidRPr="00CF1DF8">
        <w:rPr>
          <w:rFonts w:ascii="Arial" w:hAnsi="Arial" w:cs="Arial"/>
          <w:sz w:val="20"/>
          <w:szCs w:val="20"/>
        </w:rPr>
        <w:t xml:space="preserve"> is </w:t>
      </w:r>
      <w:r w:rsidR="0072055A">
        <w:rPr>
          <w:rFonts w:ascii="Arial" w:hAnsi="Arial" w:cs="Arial"/>
          <w:sz w:val="20"/>
          <w:szCs w:val="20"/>
        </w:rPr>
        <w:t>derived from</w:t>
      </w:r>
      <w:r w:rsidRPr="00CF1DF8">
        <w:rPr>
          <w:rFonts w:ascii="Arial" w:hAnsi="Arial" w:cs="Arial"/>
          <w:sz w:val="20"/>
          <w:szCs w:val="20"/>
        </w:rPr>
        <w:t xml:space="preserve"> the 75</w:t>
      </w:r>
      <w:r w:rsidRPr="00CF1DF8">
        <w:rPr>
          <w:rFonts w:ascii="Arial" w:hAnsi="Arial" w:cs="Arial"/>
          <w:sz w:val="20"/>
          <w:szCs w:val="20"/>
          <w:vertAlign w:val="superscript"/>
        </w:rPr>
        <w:t>th</w:t>
      </w:r>
      <w:r w:rsidRPr="00CF1DF8">
        <w:rPr>
          <w:rFonts w:ascii="Arial" w:hAnsi="Arial" w:cs="Arial"/>
          <w:sz w:val="20"/>
          <w:szCs w:val="20"/>
        </w:rPr>
        <w:t xml:space="preserve"> percentile of the </w:t>
      </w:r>
      <w:r w:rsidR="002C3514" w:rsidRPr="00CF1DF8">
        <w:rPr>
          <w:rFonts w:ascii="Arial" w:hAnsi="Arial" w:cs="Arial"/>
          <w:sz w:val="20"/>
          <w:szCs w:val="20"/>
        </w:rPr>
        <w:t>Lighting Facts</w:t>
      </w:r>
      <w:r w:rsidRPr="00CF1DF8">
        <w:rPr>
          <w:rFonts w:ascii="Arial" w:hAnsi="Arial" w:cs="Arial"/>
          <w:sz w:val="20"/>
          <w:szCs w:val="20"/>
        </w:rPr>
        <w:t xml:space="preserve"> database</w:t>
      </w:r>
      <w:r w:rsidR="0072055A">
        <w:rPr>
          <w:rFonts w:ascii="Arial" w:hAnsi="Arial" w:cs="Arial"/>
          <w:sz w:val="20"/>
          <w:szCs w:val="20"/>
        </w:rPr>
        <w:t xml:space="preserve"> and serves as an eligibility requirement</w:t>
      </w:r>
      <w:r w:rsidRPr="00CF1DF8">
        <w:rPr>
          <w:rFonts w:ascii="Arial" w:hAnsi="Arial" w:cs="Arial"/>
          <w:sz w:val="20"/>
          <w:szCs w:val="20"/>
        </w:rPr>
        <w:t>.</w:t>
      </w:r>
      <w:r w:rsidR="007E059E">
        <w:rPr>
          <w:rFonts w:ascii="Arial" w:hAnsi="Arial" w:cs="Arial"/>
          <w:sz w:val="20"/>
          <w:szCs w:val="20"/>
        </w:rPr>
        <w:t xml:space="preserve">  The measure case efficacy used in the savings calculations is the mid-point between the 75</w:t>
      </w:r>
      <w:r w:rsidR="007E059E" w:rsidRPr="00CF1DF8">
        <w:rPr>
          <w:rFonts w:ascii="Arial" w:hAnsi="Arial" w:cs="Arial"/>
          <w:sz w:val="20"/>
          <w:szCs w:val="20"/>
          <w:vertAlign w:val="superscript"/>
        </w:rPr>
        <w:t>th</w:t>
      </w:r>
      <w:r w:rsidR="007E059E">
        <w:rPr>
          <w:rFonts w:ascii="Arial" w:hAnsi="Arial" w:cs="Arial"/>
          <w:sz w:val="20"/>
          <w:szCs w:val="20"/>
        </w:rPr>
        <w:t xml:space="preserve"> and 100</w:t>
      </w:r>
      <w:r w:rsidR="007E059E" w:rsidRPr="00CF1DF8">
        <w:rPr>
          <w:rFonts w:ascii="Arial" w:hAnsi="Arial" w:cs="Arial"/>
          <w:sz w:val="20"/>
          <w:szCs w:val="20"/>
          <w:vertAlign w:val="superscript"/>
        </w:rPr>
        <w:t>th</w:t>
      </w:r>
      <w:r w:rsidR="007E059E">
        <w:rPr>
          <w:rFonts w:ascii="Arial" w:hAnsi="Arial" w:cs="Arial"/>
          <w:sz w:val="20"/>
          <w:szCs w:val="20"/>
        </w:rPr>
        <w:t xml:space="preserve"> percentile:  87.5</w:t>
      </w:r>
      <w:r w:rsidR="007E059E" w:rsidRPr="007E059E">
        <w:rPr>
          <w:rFonts w:ascii="Arial" w:hAnsi="Arial" w:cs="Arial"/>
          <w:sz w:val="20"/>
          <w:szCs w:val="20"/>
          <w:vertAlign w:val="superscript"/>
        </w:rPr>
        <w:t>th</w:t>
      </w:r>
      <w:r w:rsidR="007E059E">
        <w:rPr>
          <w:rFonts w:ascii="Arial" w:hAnsi="Arial" w:cs="Arial"/>
          <w:sz w:val="20"/>
          <w:szCs w:val="20"/>
        </w:rPr>
        <w:t xml:space="preserve"> percentile.</w:t>
      </w:r>
    </w:p>
    <w:p w14:paraId="23D6D111" w14:textId="0D7CC13F" w:rsidR="00EF6429" w:rsidRPr="009842A2" w:rsidRDefault="00EF6429" w:rsidP="00EF6429">
      <w:pPr>
        <w:rPr>
          <w:rFonts w:ascii="Arial" w:hAnsi="Arial" w:cs="Arial"/>
          <w:sz w:val="20"/>
          <w:szCs w:val="20"/>
          <w:highlight w:val="yellow"/>
        </w:rPr>
      </w:pPr>
    </w:p>
    <w:p w14:paraId="0243EAEB" w14:textId="7D8C63FE" w:rsidR="00EF6429" w:rsidRPr="0038775F" w:rsidRDefault="00EF6429" w:rsidP="00EF6429">
      <w:pPr>
        <w:rPr>
          <w:rFonts w:ascii="Arial" w:hAnsi="Arial" w:cs="Arial"/>
          <w:b/>
          <w:sz w:val="20"/>
          <w:szCs w:val="20"/>
        </w:rPr>
      </w:pPr>
      <w:r w:rsidRPr="0038775F">
        <w:rPr>
          <w:rFonts w:ascii="Arial" w:hAnsi="Arial" w:cs="Arial"/>
          <w:b/>
          <w:sz w:val="20"/>
          <w:szCs w:val="20"/>
        </w:rPr>
        <w:t>Delta Wattage Assumption (ΔW)</w:t>
      </w:r>
    </w:p>
    <w:p w14:paraId="2F3B70C7" w14:textId="1668FCA3" w:rsidR="00A91225" w:rsidRPr="00AC48FA" w:rsidRDefault="00A91225" w:rsidP="00A91225">
      <w:pPr>
        <w:rPr>
          <w:rFonts w:ascii="Arial" w:hAnsi="Arial" w:cs="Arial"/>
          <w:sz w:val="20"/>
          <w:szCs w:val="20"/>
        </w:rPr>
      </w:pPr>
      <w:r w:rsidRPr="00AC48FA">
        <w:rPr>
          <w:rFonts w:ascii="Arial" w:hAnsi="Arial" w:cs="Arial"/>
          <w:sz w:val="20"/>
          <w:szCs w:val="20"/>
        </w:rPr>
        <w:t>This section describes the method used to match Fluorescent base case fixtures to equivalent LED fixtures, as done in the previous interim solution. The LED fixtures being matched include both base case and measure case, and the calculations assume no difference in the light distribution, lumen maintenance, or fixture efficiency between the base and measure case LEDs. This is a particularly conservative approach to light distribution of base case TLED products, which tend to put out most of their light between 0 - 60° and are not typically well-configured to produce light at 60 - 80°. However, as no good model for typical base case TLED light distribution exists, they are assumed equivalent to LED fixtures in distribution in this workpaper.</w:t>
      </w:r>
    </w:p>
    <w:p w14:paraId="16626115" w14:textId="77777777" w:rsidR="00A91225" w:rsidRPr="00AC48FA" w:rsidRDefault="00A91225" w:rsidP="00A91225">
      <w:pPr>
        <w:rPr>
          <w:rFonts w:ascii="Arial" w:hAnsi="Arial" w:cs="Arial"/>
          <w:sz w:val="20"/>
          <w:szCs w:val="20"/>
        </w:rPr>
      </w:pPr>
    </w:p>
    <w:p w14:paraId="57330D7D" w14:textId="77777777" w:rsidR="00A91225" w:rsidRPr="00AC48FA" w:rsidRDefault="00A91225" w:rsidP="00A91225">
      <w:pPr>
        <w:rPr>
          <w:rFonts w:ascii="Arial" w:hAnsi="Arial" w:cs="Arial"/>
          <w:sz w:val="20"/>
          <w:szCs w:val="20"/>
        </w:rPr>
      </w:pPr>
      <w:r w:rsidRPr="00AC48FA">
        <w:rPr>
          <w:rFonts w:ascii="Arial" w:hAnsi="Arial" w:cs="Arial"/>
          <w:sz w:val="20"/>
          <w:szCs w:val="20"/>
        </w:rPr>
        <w:t xml:space="preserve">The workpaper assumes 1-to-1 equivalence of maintained Zonal Lumens for each lumen bin. For lumen bin, the closest equivalent in fluorescent lamp quantity and MH lamp wattage are determined, accounting for Zonal Lumens, Lumen Maintenance, and Fixture Efficiency. </w:t>
      </w:r>
    </w:p>
    <w:p w14:paraId="5C994A5A" w14:textId="77777777" w:rsidR="00A91225" w:rsidRPr="00AC48FA" w:rsidRDefault="00A91225" w:rsidP="00A91225">
      <w:pPr>
        <w:rPr>
          <w:rFonts w:ascii="Arial" w:hAnsi="Arial" w:cs="Arial"/>
          <w:sz w:val="20"/>
          <w:szCs w:val="20"/>
        </w:rPr>
      </w:pPr>
    </w:p>
    <w:p w14:paraId="740BE81F" w14:textId="6B731929" w:rsidR="00EF6429" w:rsidRPr="0038775F" w:rsidRDefault="00A91225" w:rsidP="00EF6429">
      <w:pPr>
        <w:rPr>
          <w:rFonts w:ascii="Arial" w:hAnsi="Arial" w:cs="Arial"/>
          <w:color w:val="00B0F0"/>
          <w:sz w:val="20"/>
          <w:szCs w:val="20"/>
        </w:rPr>
      </w:pPr>
      <w:r w:rsidRPr="00AC48FA">
        <w:rPr>
          <w:rFonts w:ascii="Arial" w:hAnsi="Arial" w:cs="Arial"/>
          <w:sz w:val="20"/>
          <w:szCs w:val="20"/>
        </w:rPr>
        <w:t xml:space="preserve">The LED measure case wattage values are determined by dividing the midpoint value of the lumen bins by the 120 lm/W minimum efficacy. The </w:t>
      </w:r>
      <w:r w:rsidR="000F0963">
        <w:rPr>
          <w:rFonts w:ascii="Arial" w:hAnsi="Arial" w:cs="Arial"/>
          <w:sz w:val="20"/>
          <w:szCs w:val="20"/>
        </w:rPr>
        <w:t>base case blended wattage is</w:t>
      </w:r>
      <w:r w:rsidRPr="00AC48FA">
        <w:rPr>
          <w:rFonts w:ascii="Arial" w:hAnsi="Arial" w:cs="Arial"/>
          <w:sz w:val="20"/>
          <w:szCs w:val="20"/>
        </w:rPr>
        <w:t xml:space="preserve"> the blended weighted average of base case LED, TLED, MH, and Fluorescent wattages.</w:t>
      </w:r>
      <w:r w:rsidR="000F0963">
        <w:rPr>
          <w:rFonts w:ascii="Arial" w:hAnsi="Arial" w:cs="Arial"/>
          <w:sz w:val="20"/>
          <w:szCs w:val="20"/>
        </w:rPr>
        <w:t xml:space="preserve">  </w:t>
      </w:r>
      <w:r w:rsidR="0072055A">
        <w:rPr>
          <w:rFonts w:ascii="Arial" w:hAnsi="Arial" w:cs="Arial"/>
          <w:sz w:val="20"/>
          <w:szCs w:val="20"/>
        </w:rPr>
        <w:t xml:space="preserve">Delta watts are the difference between the base case </w:t>
      </w:r>
      <w:r w:rsidR="000F0963">
        <w:rPr>
          <w:rFonts w:ascii="Arial" w:hAnsi="Arial" w:cs="Arial"/>
          <w:sz w:val="20"/>
          <w:szCs w:val="20"/>
        </w:rPr>
        <w:t xml:space="preserve">blended </w:t>
      </w:r>
      <w:r w:rsidR="0072055A">
        <w:rPr>
          <w:rFonts w:ascii="Arial" w:hAnsi="Arial" w:cs="Arial"/>
          <w:sz w:val="20"/>
          <w:szCs w:val="20"/>
        </w:rPr>
        <w:t xml:space="preserve">wattages and the measure case wattages. </w:t>
      </w:r>
    </w:p>
    <w:p w14:paraId="07D4E0BB" w14:textId="77777777" w:rsidR="00EF6429" w:rsidRPr="009842A2" w:rsidRDefault="00EF6429" w:rsidP="00EF6429">
      <w:pPr>
        <w:rPr>
          <w:rFonts w:ascii="Arial" w:hAnsi="Arial" w:cs="Arial"/>
          <w:color w:val="00B0F0"/>
          <w:sz w:val="20"/>
          <w:szCs w:val="20"/>
          <w:highlight w:val="yellow"/>
        </w:rPr>
      </w:pPr>
    </w:p>
    <w:p w14:paraId="0CBE15F7" w14:textId="2197155F" w:rsidR="00EF6429" w:rsidRPr="00E35C1C" w:rsidRDefault="00EF6429" w:rsidP="00EF6429">
      <w:pPr>
        <w:pStyle w:val="Caption"/>
        <w:jc w:val="center"/>
        <w:rPr>
          <w:color w:val="000000"/>
        </w:rPr>
      </w:pPr>
      <w:bookmarkStart w:id="127" w:name="_Toc511038015"/>
      <w:bookmarkStart w:id="128" w:name="_Toc511244280"/>
      <w:bookmarkStart w:id="129" w:name="_Toc511244305"/>
      <w:bookmarkStart w:id="130" w:name="_Toc2804945"/>
      <w:r w:rsidRPr="00E35C1C">
        <w:rPr>
          <w:color w:val="000000"/>
        </w:rPr>
        <w:t xml:space="preserve">Table </w:t>
      </w:r>
      <w:r w:rsidRPr="00CC1031">
        <w:fldChar w:fldCharType="begin"/>
      </w:r>
      <w:r w:rsidRPr="00E35C1C">
        <w:rPr>
          <w:color w:val="000000"/>
        </w:rPr>
        <w:instrText xml:space="preserve"> SEQ Table \* ARABIC </w:instrText>
      </w:r>
      <w:r w:rsidRPr="00CC1031">
        <w:rPr>
          <w:color w:val="000000"/>
        </w:rPr>
        <w:fldChar w:fldCharType="separate"/>
      </w:r>
      <w:r w:rsidR="007D2501">
        <w:rPr>
          <w:noProof/>
          <w:color w:val="000000"/>
        </w:rPr>
        <w:t>1</w:t>
      </w:r>
      <w:r w:rsidRPr="00CC1031">
        <w:fldChar w:fldCharType="end"/>
      </w:r>
      <w:r w:rsidR="004C5579">
        <w:t>4</w:t>
      </w:r>
      <w:r w:rsidR="00CC1031" w:rsidRPr="00E35C1C">
        <w:rPr>
          <w:color w:val="000000"/>
        </w:rPr>
        <w:t xml:space="preserve"> </w:t>
      </w:r>
      <w:r w:rsidRPr="00E35C1C">
        <w:rPr>
          <w:color w:val="000000"/>
        </w:rPr>
        <w:t>LED High-Bay and Low-Bay Fixtures Base</w:t>
      </w:r>
      <w:r w:rsidR="00820655">
        <w:rPr>
          <w:color w:val="000000"/>
        </w:rPr>
        <w:t xml:space="preserve"> </w:t>
      </w:r>
      <w:r w:rsidRPr="00E35C1C">
        <w:rPr>
          <w:color w:val="000000"/>
        </w:rPr>
        <w:t>and Measure Wattages</w:t>
      </w:r>
      <w:bookmarkEnd w:id="127"/>
      <w:bookmarkEnd w:id="128"/>
      <w:bookmarkEnd w:id="129"/>
      <w:bookmarkEnd w:id="130"/>
    </w:p>
    <w:tbl>
      <w:tblPr>
        <w:tblW w:w="48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2395"/>
        <w:gridCol w:w="2160"/>
        <w:gridCol w:w="2250"/>
      </w:tblGrid>
      <w:tr w:rsidR="004674CA" w:rsidRPr="006176AB" w14:paraId="528D09DC" w14:textId="77C5F9F2" w:rsidTr="00791403">
        <w:trPr>
          <w:trHeight w:val="20"/>
        </w:trPr>
        <w:tc>
          <w:tcPr>
            <w:tcW w:w="1301" w:type="pct"/>
            <w:shd w:val="clear" w:color="auto" w:fill="D9D9D9"/>
            <w:vAlign w:val="center"/>
            <w:hideMark/>
          </w:tcPr>
          <w:p w14:paraId="300E4BD2" w14:textId="6BBE0A2D" w:rsidR="004674CA" w:rsidRPr="006176AB" w:rsidRDefault="004674CA" w:rsidP="002859D9">
            <w:pPr>
              <w:jc w:val="center"/>
              <w:rPr>
                <w:rFonts w:ascii="Arial" w:hAnsi="Arial" w:cs="Arial"/>
                <w:b/>
                <w:bCs/>
                <w:color w:val="000000"/>
                <w:sz w:val="20"/>
                <w:szCs w:val="20"/>
              </w:rPr>
            </w:pPr>
            <w:r w:rsidRPr="00E35C1C">
              <w:rPr>
                <w:rFonts w:ascii="Arial" w:hAnsi="Arial"/>
                <w:b/>
                <w:color w:val="000000"/>
                <w:sz w:val="20"/>
              </w:rPr>
              <w:t>Meas</w:t>
            </w:r>
            <w:r w:rsidR="007D2501">
              <w:rPr>
                <w:rFonts w:ascii="Arial" w:hAnsi="Arial"/>
                <w:b/>
                <w:color w:val="000000"/>
                <w:sz w:val="20"/>
              </w:rPr>
              <w:t>ure</w:t>
            </w:r>
            <w:r w:rsidRPr="00E35C1C">
              <w:rPr>
                <w:rFonts w:ascii="Arial" w:hAnsi="Arial"/>
                <w:b/>
                <w:color w:val="000000"/>
                <w:sz w:val="20"/>
              </w:rPr>
              <w:t xml:space="preserve"> Code</w:t>
            </w:r>
          </w:p>
        </w:tc>
        <w:tc>
          <w:tcPr>
            <w:tcW w:w="1302" w:type="pct"/>
            <w:shd w:val="clear" w:color="auto" w:fill="D9D9D9"/>
            <w:vAlign w:val="center"/>
          </w:tcPr>
          <w:p w14:paraId="104BF643" w14:textId="77777777" w:rsidR="00791403" w:rsidRDefault="004674CA" w:rsidP="00791403">
            <w:pPr>
              <w:jc w:val="center"/>
              <w:rPr>
                <w:rFonts w:ascii="Arial" w:hAnsi="Arial"/>
                <w:b/>
                <w:color w:val="000000"/>
                <w:sz w:val="20"/>
              </w:rPr>
            </w:pPr>
            <w:r w:rsidRPr="00E35C1C">
              <w:rPr>
                <w:rFonts w:ascii="Arial" w:hAnsi="Arial"/>
                <w:b/>
                <w:color w:val="000000"/>
                <w:sz w:val="20"/>
              </w:rPr>
              <w:t xml:space="preserve">Base Case </w:t>
            </w:r>
          </w:p>
          <w:p w14:paraId="089951CB" w14:textId="4D3332E5" w:rsidR="004674CA" w:rsidRPr="006176AB" w:rsidRDefault="004674CA" w:rsidP="00791403">
            <w:pPr>
              <w:jc w:val="center"/>
              <w:rPr>
                <w:rFonts w:ascii="Arial" w:hAnsi="Arial" w:cs="Arial"/>
                <w:b/>
                <w:bCs/>
                <w:color w:val="000000"/>
                <w:sz w:val="20"/>
                <w:szCs w:val="20"/>
              </w:rPr>
            </w:pPr>
            <w:r w:rsidRPr="00E35C1C">
              <w:rPr>
                <w:rFonts w:ascii="Arial" w:hAnsi="Arial"/>
                <w:b/>
                <w:color w:val="000000"/>
                <w:sz w:val="20"/>
              </w:rPr>
              <w:t>Blended Wattage</w:t>
            </w:r>
          </w:p>
        </w:tc>
        <w:tc>
          <w:tcPr>
            <w:tcW w:w="1174" w:type="pct"/>
            <w:shd w:val="clear" w:color="auto" w:fill="D9D9D9"/>
            <w:vAlign w:val="center"/>
            <w:hideMark/>
          </w:tcPr>
          <w:p w14:paraId="2F7F86F0" w14:textId="40344AC4" w:rsidR="004674CA" w:rsidRPr="006176AB" w:rsidRDefault="004674CA" w:rsidP="002859D9">
            <w:pPr>
              <w:jc w:val="center"/>
              <w:rPr>
                <w:rFonts w:ascii="Arial" w:hAnsi="Arial" w:cs="Arial"/>
                <w:b/>
                <w:bCs/>
                <w:color w:val="000000"/>
                <w:sz w:val="20"/>
                <w:szCs w:val="20"/>
              </w:rPr>
            </w:pPr>
            <w:r w:rsidRPr="00E35C1C">
              <w:rPr>
                <w:rFonts w:ascii="Arial" w:hAnsi="Arial"/>
                <w:b/>
                <w:color w:val="000000"/>
                <w:sz w:val="20"/>
              </w:rPr>
              <w:t>Meas</w:t>
            </w:r>
            <w:r w:rsidR="00791403">
              <w:rPr>
                <w:rFonts w:ascii="Arial" w:hAnsi="Arial"/>
                <w:b/>
                <w:color w:val="000000"/>
                <w:sz w:val="20"/>
              </w:rPr>
              <w:t>ure</w:t>
            </w:r>
            <w:r w:rsidRPr="00E35C1C">
              <w:rPr>
                <w:rFonts w:ascii="Arial" w:hAnsi="Arial"/>
                <w:b/>
                <w:color w:val="000000"/>
                <w:sz w:val="20"/>
              </w:rPr>
              <w:t xml:space="preserve"> Case Wattage</w:t>
            </w:r>
          </w:p>
        </w:tc>
        <w:tc>
          <w:tcPr>
            <w:tcW w:w="1223" w:type="pct"/>
            <w:shd w:val="clear" w:color="auto" w:fill="D9D9D9"/>
            <w:vAlign w:val="center"/>
            <w:hideMark/>
          </w:tcPr>
          <w:p w14:paraId="4A688240" w14:textId="3D93B592" w:rsidR="004674CA" w:rsidRPr="006176AB" w:rsidRDefault="004674CA" w:rsidP="002859D9">
            <w:pPr>
              <w:jc w:val="center"/>
              <w:rPr>
                <w:rFonts w:ascii="Arial" w:hAnsi="Arial" w:cs="Arial"/>
                <w:b/>
                <w:bCs/>
                <w:color w:val="000000"/>
                <w:sz w:val="20"/>
                <w:szCs w:val="20"/>
              </w:rPr>
            </w:pPr>
            <w:r w:rsidRPr="00E35C1C">
              <w:rPr>
                <w:rFonts w:ascii="Arial" w:hAnsi="Arial"/>
                <w:b/>
                <w:color w:val="000000"/>
                <w:sz w:val="20"/>
              </w:rPr>
              <w:t>Delta Watts</w:t>
            </w:r>
          </w:p>
        </w:tc>
      </w:tr>
      <w:tr w:rsidR="000F0963" w:rsidRPr="006176AB" w14:paraId="3AC932DE" w14:textId="514BA62C" w:rsidTr="00791403">
        <w:trPr>
          <w:trHeight w:val="20"/>
        </w:trPr>
        <w:tc>
          <w:tcPr>
            <w:tcW w:w="1301" w:type="pct"/>
            <w:shd w:val="clear" w:color="auto" w:fill="auto"/>
            <w:vAlign w:val="bottom"/>
          </w:tcPr>
          <w:p w14:paraId="159EB705" w14:textId="493E679D" w:rsidR="000F0963" w:rsidRPr="00AC48FA" w:rsidRDefault="000F0963" w:rsidP="004C5579">
            <w:pPr>
              <w:jc w:val="center"/>
              <w:rPr>
                <w:rFonts w:ascii="Arial" w:hAnsi="Arial" w:cs="Arial"/>
                <w:color w:val="000000"/>
                <w:sz w:val="20"/>
                <w:szCs w:val="20"/>
              </w:rPr>
            </w:pPr>
            <w:r w:rsidRPr="00AC48FA">
              <w:rPr>
                <w:rFonts w:ascii="Arial" w:hAnsi="Arial" w:cs="Arial"/>
                <w:color w:val="000000"/>
                <w:sz w:val="20"/>
              </w:rPr>
              <w:t>LT514</w:t>
            </w:r>
          </w:p>
        </w:tc>
        <w:tc>
          <w:tcPr>
            <w:tcW w:w="1302" w:type="pct"/>
            <w:vAlign w:val="center"/>
          </w:tcPr>
          <w:p w14:paraId="3E9857AE" w14:textId="2A683311" w:rsidR="000F0963" w:rsidRPr="00791403" w:rsidRDefault="000F0963" w:rsidP="00791403">
            <w:pPr>
              <w:jc w:val="center"/>
              <w:rPr>
                <w:rFonts w:ascii="Arial" w:hAnsi="Arial" w:cs="Arial"/>
                <w:sz w:val="20"/>
                <w:szCs w:val="20"/>
              </w:rPr>
            </w:pPr>
            <w:r w:rsidRPr="00791403">
              <w:rPr>
                <w:rFonts w:ascii="Calibri" w:hAnsi="Calibri"/>
                <w:sz w:val="22"/>
                <w:szCs w:val="22"/>
              </w:rPr>
              <w:t>58.4</w:t>
            </w:r>
          </w:p>
        </w:tc>
        <w:tc>
          <w:tcPr>
            <w:tcW w:w="1174" w:type="pct"/>
            <w:shd w:val="clear" w:color="auto" w:fill="auto"/>
            <w:vAlign w:val="center"/>
          </w:tcPr>
          <w:p w14:paraId="04DFE887" w14:textId="59D692FD"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45.0</w:t>
            </w:r>
          </w:p>
        </w:tc>
        <w:tc>
          <w:tcPr>
            <w:tcW w:w="1223" w:type="pct"/>
            <w:shd w:val="clear" w:color="auto" w:fill="auto"/>
            <w:vAlign w:val="center"/>
          </w:tcPr>
          <w:p w14:paraId="1CE82EE1" w14:textId="32129771"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13.4 </w:t>
            </w:r>
          </w:p>
        </w:tc>
      </w:tr>
      <w:tr w:rsidR="000F0963" w:rsidRPr="006176AB" w14:paraId="58495DBB" w14:textId="02C94DDC" w:rsidTr="00791403">
        <w:trPr>
          <w:trHeight w:val="20"/>
        </w:trPr>
        <w:tc>
          <w:tcPr>
            <w:tcW w:w="1301" w:type="pct"/>
            <w:shd w:val="clear" w:color="auto" w:fill="auto"/>
            <w:vAlign w:val="bottom"/>
          </w:tcPr>
          <w:p w14:paraId="3A9FA0A9" w14:textId="70636D89" w:rsidR="000F0963" w:rsidRPr="00AC48FA" w:rsidRDefault="000F0963" w:rsidP="004C5579">
            <w:pPr>
              <w:jc w:val="center"/>
              <w:rPr>
                <w:rFonts w:ascii="Arial" w:hAnsi="Arial" w:cs="Arial"/>
                <w:color w:val="000000"/>
                <w:sz w:val="20"/>
                <w:szCs w:val="20"/>
              </w:rPr>
            </w:pPr>
            <w:r w:rsidRPr="00AC48FA">
              <w:rPr>
                <w:rFonts w:ascii="Arial" w:hAnsi="Arial" w:cs="Arial"/>
                <w:color w:val="000000"/>
                <w:sz w:val="20"/>
              </w:rPr>
              <w:t>LT515</w:t>
            </w:r>
          </w:p>
        </w:tc>
        <w:tc>
          <w:tcPr>
            <w:tcW w:w="1302" w:type="pct"/>
            <w:vAlign w:val="center"/>
          </w:tcPr>
          <w:p w14:paraId="19F0EC0A" w14:textId="7D15BD15" w:rsidR="000F0963" w:rsidRPr="00791403" w:rsidRDefault="000F0963" w:rsidP="00791403">
            <w:pPr>
              <w:jc w:val="center"/>
              <w:rPr>
                <w:rFonts w:ascii="Arial" w:hAnsi="Arial" w:cs="Arial"/>
                <w:sz w:val="20"/>
                <w:szCs w:val="20"/>
              </w:rPr>
            </w:pPr>
            <w:r w:rsidRPr="00791403">
              <w:rPr>
                <w:rFonts w:ascii="Calibri" w:hAnsi="Calibri"/>
                <w:sz w:val="22"/>
                <w:szCs w:val="22"/>
              </w:rPr>
              <w:t>67.4</w:t>
            </w:r>
          </w:p>
        </w:tc>
        <w:tc>
          <w:tcPr>
            <w:tcW w:w="1174" w:type="pct"/>
            <w:shd w:val="clear" w:color="auto" w:fill="auto"/>
            <w:vAlign w:val="center"/>
          </w:tcPr>
          <w:p w14:paraId="18E34166" w14:textId="6939149D"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54.1</w:t>
            </w:r>
          </w:p>
        </w:tc>
        <w:tc>
          <w:tcPr>
            <w:tcW w:w="1223" w:type="pct"/>
            <w:shd w:val="clear" w:color="auto" w:fill="auto"/>
            <w:vAlign w:val="center"/>
          </w:tcPr>
          <w:p w14:paraId="61509CE7" w14:textId="107450A8"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13.3 </w:t>
            </w:r>
          </w:p>
        </w:tc>
      </w:tr>
      <w:tr w:rsidR="000F0963" w:rsidRPr="006176AB" w14:paraId="7CA5E02D" w14:textId="6BC928BA" w:rsidTr="00791403">
        <w:trPr>
          <w:trHeight w:val="20"/>
        </w:trPr>
        <w:tc>
          <w:tcPr>
            <w:tcW w:w="1301" w:type="pct"/>
            <w:shd w:val="clear" w:color="auto" w:fill="auto"/>
            <w:vAlign w:val="bottom"/>
          </w:tcPr>
          <w:p w14:paraId="01505BEA" w14:textId="1438D43C" w:rsidR="000F0963" w:rsidRPr="00AC48FA" w:rsidRDefault="000F0963" w:rsidP="004C5579">
            <w:pPr>
              <w:jc w:val="center"/>
              <w:rPr>
                <w:rFonts w:ascii="Arial" w:hAnsi="Arial" w:cs="Arial"/>
                <w:color w:val="000000"/>
                <w:sz w:val="20"/>
                <w:szCs w:val="20"/>
              </w:rPr>
            </w:pPr>
            <w:r w:rsidRPr="00AC48FA">
              <w:rPr>
                <w:rFonts w:ascii="Arial" w:hAnsi="Arial" w:cs="Arial"/>
                <w:color w:val="000000"/>
                <w:sz w:val="20"/>
              </w:rPr>
              <w:t>LT516</w:t>
            </w:r>
          </w:p>
        </w:tc>
        <w:tc>
          <w:tcPr>
            <w:tcW w:w="1302" w:type="pct"/>
            <w:vAlign w:val="center"/>
          </w:tcPr>
          <w:p w14:paraId="5397F2FB" w14:textId="198A657E" w:rsidR="000F0963" w:rsidRPr="00791403" w:rsidRDefault="000F0963" w:rsidP="00791403">
            <w:pPr>
              <w:jc w:val="center"/>
              <w:rPr>
                <w:rFonts w:ascii="Arial" w:hAnsi="Arial" w:cs="Arial"/>
                <w:sz w:val="20"/>
                <w:szCs w:val="20"/>
              </w:rPr>
            </w:pPr>
            <w:r w:rsidRPr="00791403">
              <w:rPr>
                <w:rFonts w:ascii="Calibri" w:hAnsi="Calibri"/>
                <w:sz w:val="22"/>
                <w:szCs w:val="22"/>
              </w:rPr>
              <w:t>75.3</w:t>
            </w:r>
          </w:p>
        </w:tc>
        <w:tc>
          <w:tcPr>
            <w:tcW w:w="1174" w:type="pct"/>
            <w:shd w:val="clear" w:color="auto" w:fill="auto"/>
            <w:vAlign w:val="center"/>
          </w:tcPr>
          <w:p w14:paraId="02E2CE51" w14:textId="105B9BF3"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65.0</w:t>
            </w:r>
          </w:p>
        </w:tc>
        <w:tc>
          <w:tcPr>
            <w:tcW w:w="1223" w:type="pct"/>
            <w:shd w:val="clear" w:color="auto" w:fill="auto"/>
            <w:vAlign w:val="center"/>
          </w:tcPr>
          <w:p w14:paraId="5211B6A5" w14:textId="140F1FAC"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10.4 </w:t>
            </w:r>
          </w:p>
        </w:tc>
      </w:tr>
      <w:tr w:rsidR="000F0963" w:rsidRPr="006176AB" w14:paraId="1019F3BE" w14:textId="5F19E772" w:rsidTr="00791403">
        <w:trPr>
          <w:trHeight w:val="20"/>
        </w:trPr>
        <w:tc>
          <w:tcPr>
            <w:tcW w:w="1301" w:type="pct"/>
            <w:shd w:val="clear" w:color="auto" w:fill="auto"/>
            <w:vAlign w:val="bottom"/>
          </w:tcPr>
          <w:p w14:paraId="1867B928" w14:textId="7C1DA755" w:rsidR="000F0963" w:rsidRPr="00AC48FA" w:rsidRDefault="000F0963" w:rsidP="004C5579">
            <w:pPr>
              <w:jc w:val="center"/>
              <w:rPr>
                <w:rFonts w:ascii="Arial" w:hAnsi="Arial" w:cs="Arial"/>
                <w:color w:val="000000"/>
                <w:sz w:val="20"/>
                <w:szCs w:val="20"/>
              </w:rPr>
            </w:pPr>
            <w:r w:rsidRPr="00AC48FA">
              <w:rPr>
                <w:rFonts w:ascii="Arial" w:hAnsi="Arial" w:cs="Arial"/>
                <w:color w:val="000000"/>
                <w:sz w:val="20"/>
              </w:rPr>
              <w:t>LT517</w:t>
            </w:r>
          </w:p>
        </w:tc>
        <w:tc>
          <w:tcPr>
            <w:tcW w:w="1302" w:type="pct"/>
            <w:vAlign w:val="center"/>
          </w:tcPr>
          <w:p w14:paraId="4A6B0FF1" w14:textId="3D579ADC" w:rsidR="000F0963" w:rsidRPr="00791403" w:rsidRDefault="000F0963" w:rsidP="00791403">
            <w:pPr>
              <w:jc w:val="center"/>
              <w:rPr>
                <w:rFonts w:ascii="Arial" w:hAnsi="Arial" w:cs="Arial"/>
                <w:sz w:val="20"/>
                <w:szCs w:val="20"/>
              </w:rPr>
            </w:pPr>
            <w:r w:rsidRPr="00791403">
              <w:rPr>
                <w:rFonts w:ascii="Calibri" w:hAnsi="Calibri"/>
                <w:sz w:val="22"/>
                <w:szCs w:val="22"/>
              </w:rPr>
              <w:t>95.7</w:t>
            </w:r>
          </w:p>
        </w:tc>
        <w:tc>
          <w:tcPr>
            <w:tcW w:w="1174" w:type="pct"/>
            <w:shd w:val="clear" w:color="auto" w:fill="auto"/>
            <w:vAlign w:val="center"/>
          </w:tcPr>
          <w:p w14:paraId="5E3703A1" w14:textId="6412A0A3"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78.2</w:t>
            </w:r>
          </w:p>
        </w:tc>
        <w:tc>
          <w:tcPr>
            <w:tcW w:w="1223" w:type="pct"/>
            <w:shd w:val="clear" w:color="auto" w:fill="auto"/>
            <w:vAlign w:val="center"/>
          </w:tcPr>
          <w:p w14:paraId="7F9317FE" w14:textId="3CFA4BF7"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17.6 </w:t>
            </w:r>
          </w:p>
        </w:tc>
      </w:tr>
      <w:tr w:rsidR="000F0963" w:rsidRPr="006176AB" w14:paraId="3A1A7299" w14:textId="47984BC6" w:rsidTr="00791403">
        <w:trPr>
          <w:trHeight w:val="20"/>
        </w:trPr>
        <w:tc>
          <w:tcPr>
            <w:tcW w:w="1301" w:type="pct"/>
            <w:shd w:val="clear" w:color="auto" w:fill="auto"/>
            <w:vAlign w:val="bottom"/>
          </w:tcPr>
          <w:p w14:paraId="4E6F0EF1" w14:textId="06727141" w:rsidR="000F0963" w:rsidRPr="00AC48FA" w:rsidRDefault="000F0963" w:rsidP="004C5579">
            <w:pPr>
              <w:jc w:val="center"/>
              <w:rPr>
                <w:rFonts w:ascii="Arial" w:hAnsi="Arial" w:cs="Arial"/>
                <w:color w:val="000000"/>
                <w:sz w:val="20"/>
                <w:szCs w:val="20"/>
              </w:rPr>
            </w:pPr>
            <w:r w:rsidRPr="00AC48FA">
              <w:rPr>
                <w:rFonts w:ascii="Arial" w:hAnsi="Arial" w:cs="Arial"/>
                <w:color w:val="000000"/>
                <w:sz w:val="20"/>
              </w:rPr>
              <w:t>LT518</w:t>
            </w:r>
          </w:p>
        </w:tc>
        <w:tc>
          <w:tcPr>
            <w:tcW w:w="1302" w:type="pct"/>
            <w:vAlign w:val="center"/>
          </w:tcPr>
          <w:p w14:paraId="19114C55" w14:textId="027776BA" w:rsidR="000F0963" w:rsidRPr="00791403" w:rsidRDefault="000F0963" w:rsidP="00791403">
            <w:pPr>
              <w:jc w:val="center"/>
              <w:rPr>
                <w:rFonts w:ascii="Arial" w:hAnsi="Arial" w:cs="Arial"/>
                <w:sz w:val="20"/>
                <w:szCs w:val="20"/>
              </w:rPr>
            </w:pPr>
            <w:r w:rsidRPr="00791403">
              <w:rPr>
                <w:rFonts w:ascii="Calibri" w:hAnsi="Calibri"/>
                <w:sz w:val="22"/>
                <w:szCs w:val="22"/>
              </w:rPr>
              <w:t>119.4</w:t>
            </w:r>
          </w:p>
        </w:tc>
        <w:tc>
          <w:tcPr>
            <w:tcW w:w="1174" w:type="pct"/>
            <w:shd w:val="clear" w:color="auto" w:fill="auto"/>
            <w:vAlign w:val="center"/>
          </w:tcPr>
          <w:p w14:paraId="159D22AC" w14:textId="36CE88A0"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96.4</w:t>
            </w:r>
          </w:p>
        </w:tc>
        <w:tc>
          <w:tcPr>
            <w:tcW w:w="1223" w:type="pct"/>
            <w:shd w:val="clear" w:color="auto" w:fill="auto"/>
            <w:vAlign w:val="center"/>
          </w:tcPr>
          <w:p w14:paraId="4847E245" w14:textId="014B2637"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23.0 </w:t>
            </w:r>
          </w:p>
        </w:tc>
      </w:tr>
      <w:tr w:rsidR="000F0963" w:rsidRPr="006176AB" w14:paraId="1719C3DB" w14:textId="301113BE" w:rsidTr="00791403">
        <w:trPr>
          <w:trHeight w:val="20"/>
        </w:trPr>
        <w:tc>
          <w:tcPr>
            <w:tcW w:w="1301" w:type="pct"/>
            <w:shd w:val="clear" w:color="auto" w:fill="auto"/>
            <w:vAlign w:val="bottom"/>
          </w:tcPr>
          <w:p w14:paraId="6C5D40FF" w14:textId="384A07A0" w:rsidR="000F0963" w:rsidRPr="00AC48FA" w:rsidRDefault="000F0963" w:rsidP="004C5579">
            <w:pPr>
              <w:jc w:val="center"/>
              <w:rPr>
                <w:rFonts w:ascii="Arial" w:hAnsi="Arial" w:cs="Arial"/>
                <w:color w:val="000000"/>
                <w:sz w:val="20"/>
                <w:szCs w:val="20"/>
              </w:rPr>
            </w:pPr>
            <w:r w:rsidRPr="00AC48FA">
              <w:rPr>
                <w:rFonts w:ascii="Arial" w:hAnsi="Arial" w:cs="Arial"/>
                <w:color w:val="000000"/>
                <w:sz w:val="20"/>
              </w:rPr>
              <w:t>LT519</w:t>
            </w:r>
          </w:p>
        </w:tc>
        <w:tc>
          <w:tcPr>
            <w:tcW w:w="1302" w:type="pct"/>
            <w:vAlign w:val="center"/>
          </w:tcPr>
          <w:p w14:paraId="493D2DB5" w14:textId="28430529" w:rsidR="000F0963" w:rsidRPr="00791403" w:rsidRDefault="000F0963" w:rsidP="00791403">
            <w:pPr>
              <w:jc w:val="center"/>
              <w:rPr>
                <w:rFonts w:ascii="Arial" w:hAnsi="Arial" w:cs="Arial"/>
                <w:sz w:val="20"/>
                <w:szCs w:val="20"/>
              </w:rPr>
            </w:pPr>
            <w:r w:rsidRPr="00791403">
              <w:rPr>
                <w:rFonts w:ascii="Calibri" w:hAnsi="Calibri"/>
                <w:sz w:val="22"/>
                <w:szCs w:val="22"/>
              </w:rPr>
              <w:t>136.3</w:t>
            </w:r>
          </w:p>
        </w:tc>
        <w:tc>
          <w:tcPr>
            <w:tcW w:w="1174" w:type="pct"/>
            <w:shd w:val="clear" w:color="auto" w:fill="auto"/>
            <w:vAlign w:val="center"/>
          </w:tcPr>
          <w:p w14:paraId="50935CFD" w14:textId="669285A3"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120.9</w:t>
            </w:r>
          </w:p>
        </w:tc>
        <w:tc>
          <w:tcPr>
            <w:tcW w:w="1223" w:type="pct"/>
            <w:shd w:val="clear" w:color="auto" w:fill="auto"/>
            <w:vAlign w:val="center"/>
          </w:tcPr>
          <w:p w14:paraId="4063348B" w14:textId="67D0AEB1"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15.4 </w:t>
            </w:r>
          </w:p>
        </w:tc>
      </w:tr>
      <w:tr w:rsidR="000F0963" w:rsidRPr="006176AB" w14:paraId="2A43BA09" w14:textId="11569A55" w:rsidTr="00791403">
        <w:trPr>
          <w:trHeight w:val="20"/>
        </w:trPr>
        <w:tc>
          <w:tcPr>
            <w:tcW w:w="1301" w:type="pct"/>
            <w:shd w:val="clear" w:color="auto" w:fill="auto"/>
            <w:vAlign w:val="bottom"/>
          </w:tcPr>
          <w:p w14:paraId="5350BEED" w14:textId="7822F252" w:rsidR="000F0963" w:rsidRPr="00AC48FA" w:rsidRDefault="000F0963" w:rsidP="004C5579">
            <w:pPr>
              <w:jc w:val="center"/>
              <w:rPr>
                <w:rFonts w:ascii="Arial" w:hAnsi="Arial" w:cs="Arial"/>
                <w:color w:val="000000"/>
                <w:sz w:val="20"/>
                <w:szCs w:val="20"/>
              </w:rPr>
            </w:pPr>
            <w:r w:rsidRPr="00AC48FA">
              <w:rPr>
                <w:rFonts w:ascii="Arial" w:hAnsi="Arial" w:cs="Arial"/>
                <w:color w:val="000000"/>
                <w:sz w:val="20"/>
              </w:rPr>
              <w:t>LT520</w:t>
            </w:r>
          </w:p>
        </w:tc>
        <w:tc>
          <w:tcPr>
            <w:tcW w:w="1302" w:type="pct"/>
            <w:vAlign w:val="center"/>
          </w:tcPr>
          <w:p w14:paraId="0442C055" w14:textId="10FA002D" w:rsidR="000F0963" w:rsidRPr="00791403" w:rsidRDefault="000F0963" w:rsidP="00791403">
            <w:pPr>
              <w:jc w:val="center"/>
              <w:rPr>
                <w:rFonts w:ascii="Arial" w:hAnsi="Arial" w:cs="Arial"/>
                <w:sz w:val="20"/>
                <w:szCs w:val="20"/>
              </w:rPr>
            </w:pPr>
            <w:r w:rsidRPr="00791403">
              <w:rPr>
                <w:rFonts w:ascii="Calibri" w:hAnsi="Calibri"/>
                <w:sz w:val="22"/>
                <w:szCs w:val="22"/>
              </w:rPr>
              <w:t>168.7</w:t>
            </w:r>
          </w:p>
        </w:tc>
        <w:tc>
          <w:tcPr>
            <w:tcW w:w="1174" w:type="pct"/>
            <w:shd w:val="clear" w:color="auto" w:fill="auto"/>
            <w:vAlign w:val="center"/>
          </w:tcPr>
          <w:p w14:paraId="5BB96F79" w14:textId="73CBDB50"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138.7</w:t>
            </w:r>
          </w:p>
        </w:tc>
        <w:tc>
          <w:tcPr>
            <w:tcW w:w="1223" w:type="pct"/>
            <w:shd w:val="clear" w:color="auto" w:fill="auto"/>
            <w:vAlign w:val="center"/>
          </w:tcPr>
          <w:p w14:paraId="73F66BF1" w14:textId="376743CF"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29.9 </w:t>
            </w:r>
          </w:p>
        </w:tc>
      </w:tr>
      <w:tr w:rsidR="000F0963" w:rsidRPr="006176AB" w14:paraId="07923029" w14:textId="14FB0366" w:rsidTr="00791403">
        <w:trPr>
          <w:trHeight w:val="20"/>
        </w:trPr>
        <w:tc>
          <w:tcPr>
            <w:tcW w:w="1301" w:type="pct"/>
            <w:shd w:val="clear" w:color="auto" w:fill="auto"/>
            <w:vAlign w:val="bottom"/>
          </w:tcPr>
          <w:p w14:paraId="49137310" w14:textId="05090FFA" w:rsidR="000F0963" w:rsidRPr="00AC48FA" w:rsidRDefault="000F0963" w:rsidP="004C5579">
            <w:pPr>
              <w:jc w:val="center"/>
              <w:rPr>
                <w:rFonts w:ascii="Arial" w:hAnsi="Arial" w:cs="Arial"/>
                <w:color w:val="000000"/>
                <w:sz w:val="20"/>
                <w:szCs w:val="20"/>
              </w:rPr>
            </w:pPr>
            <w:r w:rsidRPr="00AC48FA">
              <w:rPr>
                <w:rFonts w:ascii="Arial" w:hAnsi="Arial" w:cs="Arial"/>
                <w:color w:val="000000"/>
                <w:sz w:val="20"/>
              </w:rPr>
              <w:t>LT521</w:t>
            </w:r>
          </w:p>
        </w:tc>
        <w:tc>
          <w:tcPr>
            <w:tcW w:w="1302" w:type="pct"/>
            <w:vAlign w:val="center"/>
          </w:tcPr>
          <w:p w14:paraId="02859DBB" w14:textId="3B6ED043" w:rsidR="000F0963" w:rsidRPr="00791403" w:rsidRDefault="000F0963" w:rsidP="00791403">
            <w:pPr>
              <w:jc w:val="center"/>
              <w:rPr>
                <w:rFonts w:ascii="Arial" w:hAnsi="Arial" w:cs="Arial"/>
                <w:sz w:val="20"/>
                <w:szCs w:val="20"/>
              </w:rPr>
            </w:pPr>
            <w:r w:rsidRPr="00791403">
              <w:rPr>
                <w:rFonts w:ascii="Calibri" w:hAnsi="Calibri"/>
                <w:sz w:val="22"/>
                <w:szCs w:val="22"/>
              </w:rPr>
              <w:t>199.0</w:t>
            </w:r>
          </w:p>
        </w:tc>
        <w:tc>
          <w:tcPr>
            <w:tcW w:w="1174" w:type="pct"/>
            <w:shd w:val="clear" w:color="auto" w:fill="auto"/>
            <w:vAlign w:val="center"/>
          </w:tcPr>
          <w:p w14:paraId="0A320ED3" w14:textId="7501B1B7"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173.3</w:t>
            </w:r>
          </w:p>
        </w:tc>
        <w:tc>
          <w:tcPr>
            <w:tcW w:w="1223" w:type="pct"/>
            <w:shd w:val="clear" w:color="auto" w:fill="auto"/>
            <w:vAlign w:val="center"/>
          </w:tcPr>
          <w:p w14:paraId="3D6F583E" w14:textId="362754DE"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25.6 </w:t>
            </w:r>
          </w:p>
        </w:tc>
      </w:tr>
      <w:tr w:rsidR="000F0963" w:rsidRPr="006176AB" w14:paraId="2EE0B017" w14:textId="40C47CA1" w:rsidTr="00791403">
        <w:trPr>
          <w:trHeight w:val="20"/>
        </w:trPr>
        <w:tc>
          <w:tcPr>
            <w:tcW w:w="1301" w:type="pct"/>
            <w:shd w:val="clear" w:color="auto" w:fill="auto"/>
            <w:vAlign w:val="bottom"/>
          </w:tcPr>
          <w:p w14:paraId="53FAD48D" w14:textId="518B19CD" w:rsidR="000F0963" w:rsidRPr="00AC48FA" w:rsidRDefault="000F0963" w:rsidP="004C5579">
            <w:pPr>
              <w:jc w:val="center"/>
              <w:rPr>
                <w:rFonts w:ascii="Arial" w:hAnsi="Arial" w:cs="Arial"/>
                <w:color w:val="000000"/>
                <w:sz w:val="20"/>
                <w:szCs w:val="20"/>
              </w:rPr>
            </w:pPr>
            <w:r w:rsidRPr="00AC48FA">
              <w:rPr>
                <w:rFonts w:ascii="Arial" w:hAnsi="Arial" w:cs="Arial"/>
                <w:color w:val="000000"/>
                <w:sz w:val="20"/>
              </w:rPr>
              <w:t>LT522</w:t>
            </w:r>
          </w:p>
        </w:tc>
        <w:tc>
          <w:tcPr>
            <w:tcW w:w="1302" w:type="pct"/>
            <w:vAlign w:val="center"/>
          </w:tcPr>
          <w:p w14:paraId="49CF1DDD" w14:textId="0299F134" w:rsidR="000F0963" w:rsidRPr="00791403" w:rsidRDefault="000F0963" w:rsidP="00791403">
            <w:pPr>
              <w:jc w:val="center"/>
              <w:rPr>
                <w:rFonts w:ascii="Arial" w:hAnsi="Arial" w:cs="Arial"/>
                <w:sz w:val="20"/>
                <w:szCs w:val="20"/>
              </w:rPr>
            </w:pPr>
            <w:r w:rsidRPr="00791403">
              <w:rPr>
                <w:rFonts w:ascii="Calibri" w:hAnsi="Calibri"/>
                <w:sz w:val="22"/>
                <w:szCs w:val="22"/>
              </w:rPr>
              <w:t>244.7</w:t>
            </w:r>
          </w:p>
        </w:tc>
        <w:tc>
          <w:tcPr>
            <w:tcW w:w="1174" w:type="pct"/>
            <w:shd w:val="clear" w:color="auto" w:fill="auto"/>
            <w:vAlign w:val="center"/>
          </w:tcPr>
          <w:p w14:paraId="58B90F2C" w14:textId="23C89861"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212.4</w:t>
            </w:r>
          </w:p>
        </w:tc>
        <w:tc>
          <w:tcPr>
            <w:tcW w:w="1223" w:type="pct"/>
            <w:shd w:val="clear" w:color="auto" w:fill="auto"/>
            <w:vAlign w:val="center"/>
          </w:tcPr>
          <w:p w14:paraId="4E87DEAE" w14:textId="0AF7A114"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32.3 </w:t>
            </w:r>
          </w:p>
        </w:tc>
      </w:tr>
      <w:tr w:rsidR="000F0963" w:rsidRPr="006176AB" w14:paraId="36CF4165" w14:textId="17E8A562" w:rsidTr="00791403">
        <w:trPr>
          <w:trHeight w:val="20"/>
        </w:trPr>
        <w:tc>
          <w:tcPr>
            <w:tcW w:w="1301" w:type="pct"/>
            <w:shd w:val="clear" w:color="auto" w:fill="auto"/>
            <w:vAlign w:val="bottom"/>
          </w:tcPr>
          <w:p w14:paraId="1C224428" w14:textId="2799E357" w:rsidR="000F0963" w:rsidRPr="00AC48FA" w:rsidRDefault="000F0963" w:rsidP="004C5579">
            <w:pPr>
              <w:jc w:val="center"/>
              <w:rPr>
                <w:rFonts w:ascii="Arial" w:hAnsi="Arial" w:cs="Arial"/>
                <w:color w:val="000000"/>
                <w:sz w:val="20"/>
                <w:szCs w:val="20"/>
              </w:rPr>
            </w:pPr>
            <w:r w:rsidRPr="00AC48FA">
              <w:rPr>
                <w:rFonts w:ascii="Arial" w:hAnsi="Arial" w:cs="Arial"/>
                <w:color w:val="000000"/>
                <w:sz w:val="20"/>
              </w:rPr>
              <w:t>LT523</w:t>
            </w:r>
          </w:p>
        </w:tc>
        <w:tc>
          <w:tcPr>
            <w:tcW w:w="1302" w:type="pct"/>
            <w:vAlign w:val="center"/>
          </w:tcPr>
          <w:p w14:paraId="402CB453" w14:textId="7F1FAEE5" w:rsidR="000F0963" w:rsidRPr="00791403" w:rsidRDefault="000F0963" w:rsidP="00791403">
            <w:pPr>
              <w:jc w:val="center"/>
              <w:rPr>
                <w:rFonts w:ascii="Arial" w:hAnsi="Arial" w:cs="Arial"/>
                <w:sz w:val="20"/>
                <w:szCs w:val="20"/>
              </w:rPr>
            </w:pPr>
            <w:r w:rsidRPr="00791403">
              <w:rPr>
                <w:rFonts w:ascii="Calibri" w:hAnsi="Calibri"/>
                <w:sz w:val="22"/>
                <w:szCs w:val="22"/>
              </w:rPr>
              <w:t>303.0</w:t>
            </w:r>
          </w:p>
        </w:tc>
        <w:tc>
          <w:tcPr>
            <w:tcW w:w="1174" w:type="pct"/>
            <w:shd w:val="clear" w:color="auto" w:fill="auto"/>
            <w:vAlign w:val="center"/>
          </w:tcPr>
          <w:p w14:paraId="699D645B" w14:textId="1889B832"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276.0</w:t>
            </w:r>
          </w:p>
        </w:tc>
        <w:tc>
          <w:tcPr>
            <w:tcW w:w="1223" w:type="pct"/>
            <w:shd w:val="clear" w:color="auto" w:fill="auto"/>
            <w:vAlign w:val="center"/>
          </w:tcPr>
          <w:p w14:paraId="561FEF3E" w14:textId="54E91749"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27.0 </w:t>
            </w:r>
          </w:p>
        </w:tc>
      </w:tr>
      <w:tr w:rsidR="000F0963" w:rsidRPr="006176AB" w14:paraId="309C0D7F" w14:textId="647A6473" w:rsidTr="00791403">
        <w:trPr>
          <w:trHeight w:val="20"/>
        </w:trPr>
        <w:tc>
          <w:tcPr>
            <w:tcW w:w="1301" w:type="pct"/>
            <w:shd w:val="clear" w:color="auto" w:fill="auto"/>
            <w:vAlign w:val="bottom"/>
          </w:tcPr>
          <w:p w14:paraId="65FEC27B" w14:textId="7DA5B24F" w:rsidR="000F0963" w:rsidRPr="00AC48FA" w:rsidRDefault="000F0963" w:rsidP="004C5579">
            <w:pPr>
              <w:jc w:val="center"/>
              <w:rPr>
                <w:rFonts w:ascii="Arial" w:hAnsi="Arial" w:cs="Arial"/>
                <w:color w:val="000000"/>
                <w:sz w:val="20"/>
                <w:szCs w:val="20"/>
              </w:rPr>
            </w:pPr>
            <w:r w:rsidRPr="00AC48FA">
              <w:rPr>
                <w:rFonts w:ascii="Arial" w:hAnsi="Arial" w:cs="Arial"/>
                <w:color w:val="000000"/>
                <w:sz w:val="20"/>
              </w:rPr>
              <w:t>LT524</w:t>
            </w:r>
          </w:p>
        </w:tc>
        <w:tc>
          <w:tcPr>
            <w:tcW w:w="1302" w:type="pct"/>
            <w:vAlign w:val="center"/>
          </w:tcPr>
          <w:p w14:paraId="186EDDA8" w14:textId="05045253" w:rsidR="000F0963" w:rsidRPr="00791403" w:rsidRDefault="000F0963" w:rsidP="00791403">
            <w:pPr>
              <w:jc w:val="center"/>
              <w:rPr>
                <w:rFonts w:ascii="Arial" w:hAnsi="Arial" w:cs="Arial"/>
                <w:sz w:val="20"/>
                <w:szCs w:val="20"/>
              </w:rPr>
            </w:pPr>
            <w:r w:rsidRPr="00791403">
              <w:rPr>
                <w:rFonts w:ascii="Calibri" w:hAnsi="Calibri"/>
                <w:sz w:val="22"/>
                <w:szCs w:val="22"/>
              </w:rPr>
              <w:t>406.6</w:t>
            </w:r>
          </w:p>
        </w:tc>
        <w:tc>
          <w:tcPr>
            <w:tcW w:w="1174" w:type="pct"/>
            <w:shd w:val="clear" w:color="auto" w:fill="auto"/>
            <w:vAlign w:val="center"/>
          </w:tcPr>
          <w:p w14:paraId="7977CF68" w14:textId="2DD99ACA"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358.8</w:t>
            </w:r>
          </w:p>
        </w:tc>
        <w:tc>
          <w:tcPr>
            <w:tcW w:w="1223" w:type="pct"/>
            <w:shd w:val="clear" w:color="auto" w:fill="auto"/>
            <w:vAlign w:val="center"/>
          </w:tcPr>
          <w:p w14:paraId="045CCA1D" w14:textId="6534A688"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47.8 </w:t>
            </w:r>
          </w:p>
        </w:tc>
      </w:tr>
      <w:tr w:rsidR="000F0963" w:rsidRPr="006176AB" w14:paraId="6322C8A9" w14:textId="69A31B5A" w:rsidTr="00791403">
        <w:trPr>
          <w:trHeight w:val="20"/>
        </w:trPr>
        <w:tc>
          <w:tcPr>
            <w:tcW w:w="1301" w:type="pct"/>
            <w:shd w:val="clear" w:color="auto" w:fill="auto"/>
            <w:vAlign w:val="bottom"/>
          </w:tcPr>
          <w:p w14:paraId="5BF9DA55" w14:textId="71F3A2DA" w:rsidR="000F0963" w:rsidRPr="00AC48FA" w:rsidRDefault="000F0963" w:rsidP="004C5579">
            <w:pPr>
              <w:jc w:val="center"/>
              <w:rPr>
                <w:rFonts w:ascii="Arial" w:hAnsi="Arial" w:cs="Arial"/>
                <w:color w:val="000000"/>
                <w:sz w:val="20"/>
                <w:szCs w:val="20"/>
              </w:rPr>
            </w:pPr>
            <w:r w:rsidRPr="00AC48FA">
              <w:rPr>
                <w:rFonts w:ascii="Arial" w:hAnsi="Arial" w:cs="Arial"/>
                <w:color w:val="000000"/>
                <w:sz w:val="20"/>
              </w:rPr>
              <w:t>LT525</w:t>
            </w:r>
          </w:p>
        </w:tc>
        <w:tc>
          <w:tcPr>
            <w:tcW w:w="1302" w:type="pct"/>
            <w:vAlign w:val="center"/>
          </w:tcPr>
          <w:p w14:paraId="262EA8AC" w14:textId="7C9254BA" w:rsidR="000F0963" w:rsidRPr="00791403" w:rsidRDefault="000F0963" w:rsidP="00791403">
            <w:pPr>
              <w:jc w:val="center"/>
              <w:rPr>
                <w:rFonts w:ascii="Arial" w:hAnsi="Arial" w:cs="Arial"/>
                <w:sz w:val="20"/>
                <w:szCs w:val="20"/>
              </w:rPr>
            </w:pPr>
            <w:r w:rsidRPr="00791403">
              <w:rPr>
                <w:rFonts w:ascii="Calibri" w:hAnsi="Calibri"/>
                <w:sz w:val="22"/>
                <w:szCs w:val="22"/>
              </w:rPr>
              <w:t>525.7</w:t>
            </w:r>
          </w:p>
        </w:tc>
        <w:tc>
          <w:tcPr>
            <w:tcW w:w="1174" w:type="pct"/>
            <w:shd w:val="clear" w:color="auto" w:fill="auto"/>
            <w:vAlign w:val="center"/>
          </w:tcPr>
          <w:p w14:paraId="1B39E57E" w14:textId="6A676616"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466.4</w:t>
            </w:r>
          </w:p>
        </w:tc>
        <w:tc>
          <w:tcPr>
            <w:tcW w:w="1223" w:type="pct"/>
            <w:shd w:val="clear" w:color="auto" w:fill="auto"/>
            <w:vAlign w:val="center"/>
          </w:tcPr>
          <w:p w14:paraId="1725DADB" w14:textId="15EE4F1E"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59.3 </w:t>
            </w:r>
          </w:p>
        </w:tc>
      </w:tr>
      <w:tr w:rsidR="000F0963" w:rsidRPr="006176AB" w14:paraId="5DA45830" w14:textId="43A6B339" w:rsidTr="00791403">
        <w:trPr>
          <w:trHeight w:val="20"/>
        </w:trPr>
        <w:tc>
          <w:tcPr>
            <w:tcW w:w="1301" w:type="pct"/>
            <w:shd w:val="clear" w:color="auto" w:fill="auto"/>
            <w:vAlign w:val="bottom"/>
          </w:tcPr>
          <w:p w14:paraId="2800B340" w14:textId="4BC7DBA5" w:rsidR="000F0963" w:rsidRPr="00AC48FA" w:rsidRDefault="000F0963" w:rsidP="004C5579">
            <w:pPr>
              <w:jc w:val="center"/>
              <w:rPr>
                <w:rFonts w:ascii="Arial" w:hAnsi="Arial" w:cs="Arial"/>
                <w:color w:val="000000"/>
                <w:sz w:val="20"/>
                <w:szCs w:val="20"/>
              </w:rPr>
            </w:pPr>
            <w:r w:rsidRPr="00AC48FA">
              <w:rPr>
                <w:rFonts w:ascii="Arial" w:hAnsi="Arial" w:cs="Arial"/>
                <w:color w:val="000000"/>
                <w:sz w:val="20"/>
              </w:rPr>
              <w:t>LT526</w:t>
            </w:r>
          </w:p>
        </w:tc>
        <w:tc>
          <w:tcPr>
            <w:tcW w:w="1302" w:type="pct"/>
            <w:vAlign w:val="center"/>
          </w:tcPr>
          <w:p w14:paraId="09FF560E" w14:textId="0CA978D1" w:rsidR="000F0963" w:rsidRPr="00791403" w:rsidRDefault="000F0963" w:rsidP="00791403">
            <w:pPr>
              <w:jc w:val="center"/>
              <w:rPr>
                <w:rFonts w:ascii="Arial" w:hAnsi="Arial" w:cs="Arial"/>
                <w:sz w:val="20"/>
                <w:szCs w:val="20"/>
              </w:rPr>
            </w:pPr>
            <w:r w:rsidRPr="00791403">
              <w:rPr>
                <w:rFonts w:ascii="Calibri" w:hAnsi="Calibri"/>
                <w:sz w:val="22"/>
                <w:szCs w:val="22"/>
              </w:rPr>
              <w:t>58.4</w:t>
            </w:r>
          </w:p>
        </w:tc>
        <w:tc>
          <w:tcPr>
            <w:tcW w:w="1174" w:type="pct"/>
            <w:shd w:val="clear" w:color="auto" w:fill="auto"/>
            <w:vAlign w:val="center"/>
          </w:tcPr>
          <w:p w14:paraId="3DE95DCA" w14:textId="55D38CB3"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38.1</w:t>
            </w:r>
          </w:p>
        </w:tc>
        <w:tc>
          <w:tcPr>
            <w:tcW w:w="1223" w:type="pct"/>
            <w:shd w:val="clear" w:color="auto" w:fill="auto"/>
            <w:vAlign w:val="center"/>
          </w:tcPr>
          <w:p w14:paraId="3CBFE96C" w14:textId="1B265828"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20.3 </w:t>
            </w:r>
          </w:p>
        </w:tc>
      </w:tr>
      <w:tr w:rsidR="000F0963" w:rsidRPr="006176AB" w14:paraId="2139C67E" w14:textId="3E032ECF" w:rsidTr="00791403">
        <w:trPr>
          <w:trHeight w:val="20"/>
        </w:trPr>
        <w:tc>
          <w:tcPr>
            <w:tcW w:w="1301" w:type="pct"/>
            <w:shd w:val="clear" w:color="auto" w:fill="auto"/>
            <w:vAlign w:val="bottom"/>
          </w:tcPr>
          <w:p w14:paraId="4CB8A473" w14:textId="6D8AF661" w:rsidR="000F0963" w:rsidRPr="00AC48FA" w:rsidRDefault="000F0963" w:rsidP="004C5579">
            <w:pPr>
              <w:jc w:val="center"/>
              <w:rPr>
                <w:rFonts w:ascii="Arial" w:hAnsi="Arial" w:cs="Arial"/>
                <w:color w:val="000000"/>
                <w:sz w:val="20"/>
                <w:szCs w:val="20"/>
              </w:rPr>
            </w:pPr>
            <w:r w:rsidRPr="00AC48FA">
              <w:rPr>
                <w:rFonts w:ascii="Arial" w:hAnsi="Arial" w:cs="Arial"/>
                <w:color w:val="000000"/>
                <w:sz w:val="20"/>
              </w:rPr>
              <w:t>LT527</w:t>
            </w:r>
          </w:p>
        </w:tc>
        <w:tc>
          <w:tcPr>
            <w:tcW w:w="1302" w:type="pct"/>
            <w:vAlign w:val="center"/>
          </w:tcPr>
          <w:p w14:paraId="126399CC" w14:textId="1CFD41DF" w:rsidR="000F0963" w:rsidRPr="00791403" w:rsidRDefault="000F0963" w:rsidP="00791403">
            <w:pPr>
              <w:jc w:val="center"/>
              <w:rPr>
                <w:rFonts w:ascii="Arial" w:hAnsi="Arial" w:cs="Arial"/>
                <w:sz w:val="20"/>
                <w:szCs w:val="20"/>
              </w:rPr>
            </w:pPr>
            <w:r w:rsidRPr="00791403">
              <w:rPr>
                <w:rFonts w:ascii="Calibri" w:hAnsi="Calibri"/>
                <w:sz w:val="22"/>
                <w:szCs w:val="22"/>
              </w:rPr>
              <w:t>67.4</w:t>
            </w:r>
          </w:p>
        </w:tc>
        <w:tc>
          <w:tcPr>
            <w:tcW w:w="1174" w:type="pct"/>
            <w:shd w:val="clear" w:color="auto" w:fill="auto"/>
            <w:vAlign w:val="center"/>
          </w:tcPr>
          <w:p w14:paraId="62899DDA" w14:textId="61A5BD8B"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45.8</w:t>
            </w:r>
          </w:p>
        </w:tc>
        <w:tc>
          <w:tcPr>
            <w:tcW w:w="1223" w:type="pct"/>
            <w:shd w:val="clear" w:color="auto" w:fill="auto"/>
            <w:vAlign w:val="center"/>
          </w:tcPr>
          <w:p w14:paraId="54799860" w14:textId="00FA8D85"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21.6 </w:t>
            </w:r>
          </w:p>
        </w:tc>
      </w:tr>
      <w:tr w:rsidR="000F0963" w:rsidRPr="006176AB" w14:paraId="050C4D96" w14:textId="77777777" w:rsidTr="00791403">
        <w:trPr>
          <w:trHeight w:val="20"/>
        </w:trPr>
        <w:tc>
          <w:tcPr>
            <w:tcW w:w="1301" w:type="pct"/>
            <w:shd w:val="clear" w:color="auto" w:fill="auto"/>
            <w:vAlign w:val="bottom"/>
          </w:tcPr>
          <w:p w14:paraId="123B908D" w14:textId="061936ED" w:rsidR="000F0963" w:rsidRPr="00AC48FA" w:rsidRDefault="000F0963" w:rsidP="004C5579">
            <w:pPr>
              <w:jc w:val="center"/>
              <w:rPr>
                <w:rFonts w:ascii="Arial" w:hAnsi="Arial" w:cs="Arial"/>
                <w:color w:val="000000"/>
                <w:sz w:val="20"/>
                <w:szCs w:val="22"/>
              </w:rPr>
            </w:pPr>
            <w:r w:rsidRPr="00AC48FA">
              <w:rPr>
                <w:rFonts w:ascii="Arial" w:hAnsi="Arial" w:cs="Arial"/>
                <w:color w:val="000000"/>
                <w:sz w:val="20"/>
              </w:rPr>
              <w:t>LT528</w:t>
            </w:r>
          </w:p>
        </w:tc>
        <w:tc>
          <w:tcPr>
            <w:tcW w:w="1302" w:type="pct"/>
            <w:vAlign w:val="center"/>
          </w:tcPr>
          <w:p w14:paraId="1225388F" w14:textId="117F35AD" w:rsidR="000F0963" w:rsidRPr="00791403" w:rsidRDefault="000F0963" w:rsidP="00791403">
            <w:pPr>
              <w:jc w:val="center"/>
              <w:rPr>
                <w:rFonts w:ascii="Arial" w:hAnsi="Arial" w:cs="Arial"/>
                <w:sz w:val="20"/>
                <w:szCs w:val="20"/>
              </w:rPr>
            </w:pPr>
            <w:r w:rsidRPr="00791403">
              <w:rPr>
                <w:rFonts w:ascii="Calibri" w:hAnsi="Calibri"/>
                <w:sz w:val="22"/>
                <w:szCs w:val="22"/>
              </w:rPr>
              <w:t>75.3</w:t>
            </w:r>
          </w:p>
        </w:tc>
        <w:tc>
          <w:tcPr>
            <w:tcW w:w="1174" w:type="pct"/>
            <w:shd w:val="clear" w:color="auto" w:fill="auto"/>
            <w:vAlign w:val="center"/>
          </w:tcPr>
          <w:p w14:paraId="38F7766E" w14:textId="02CE3928"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55.0</w:t>
            </w:r>
          </w:p>
        </w:tc>
        <w:tc>
          <w:tcPr>
            <w:tcW w:w="1223" w:type="pct"/>
            <w:shd w:val="clear" w:color="auto" w:fill="auto"/>
            <w:vAlign w:val="center"/>
          </w:tcPr>
          <w:p w14:paraId="08872172" w14:textId="417DDB3F"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20.4 </w:t>
            </w:r>
          </w:p>
        </w:tc>
      </w:tr>
      <w:tr w:rsidR="000F0963" w:rsidRPr="006176AB" w14:paraId="6E210CAB" w14:textId="77777777" w:rsidTr="00791403">
        <w:trPr>
          <w:trHeight w:val="20"/>
        </w:trPr>
        <w:tc>
          <w:tcPr>
            <w:tcW w:w="1301" w:type="pct"/>
            <w:shd w:val="clear" w:color="auto" w:fill="auto"/>
            <w:vAlign w:val="bottom"/>
          </w:tcPr>
          <w:p w14:paraId="161F7A35" w14:textId="5D5B949D" w:rsidR="000F0963" w:rsidRPr="00AC48FA" w:rsidRDefault="000F0963" w:rsidP="004C5579">
            <w:pPr>
              <w:jc w:val="center"/>
              <w:rPr>
                <w:rFonts w:ascii="Arial" w:hAnsi="Arial" w:cs="Arial"/>
                <w:color w:val="000000"/>
                <w:sz w:val="20"/>
                <w:szCs w:val="22"/>
              </w:rPr>
            </w:pPr>
            <w:r w:rsidRPr="00AC48FA">
              <w:rPr>
                <w:rFonts w:ascii="Arial" w:hAnsi="Arial" w:cs="Arial"/>
                <w:color w:val="000000"/>
                <w:sz w:val="20"/>
              </w:rPr>
              <w:lastRenderedPageBreak/>
              <w:t>LT529</w:t>
            </w:r>
          </w:p>
        </w:tc>
        <w:tc>
          <w:tcPr>
            <w:tcW w:w="1302" w:type="pct"/>
            <w:vAlign w:val="center"/>
          </w:tcPr>
          <w:p w14:paraId="509FFE99" w14:textId="665E9943" w:rsidR="000F0963" w:rsidRPr="00791403" w:rsidRDefault="000F0963" w:rsidP="00791403">
            <w:pPr>
              <w:jc w:val="center"/>
              <w:rPr>
                <w:rFonts w:ascii="Arial" w:hAnsi="Arial" w:cs="Arial"/>
                <w:sz w:val="20"/>
                <w:szCs w:val="20"/>
              </w:rPr>
            </w:pPr>
            <w:r w:rsidRPr="00791403">
              <w:rPr>
                <w:rFonts w:ascii="Calibri" w:hAnsi="Calibri"/>
                <w:sz w:val="22"/>
                <w:szCs w:val="22"/>
              </w:rPr>
              <w:t>95.7</w:t>
            </w:r>
          </w:p>
        </w:tc>
        <w:tc>
          <w:tcPr>
            <w:tcW w:w="1174" w:type="pct"/>
            <w:shd w:val="clear" w:color="auto" w:fill="auto"/>
            <w:vAlign w:val="center"/>
          </w:tcPr>
          <w:p w14:paraId="24F70807" w14:textId="32BC43F8"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66.2</w:t>
            </w:r>
          </w:p>
        </w:tc>
        <w:tc>
          <w:tcPr>
            <w:tcW w:w="1223" w:type="pct"/>
            <w:shd w:val="clear" w:color="auto" w:fill="auto"/>
            <w:vAlign w:val="center"/>
          </w:tcPr>
          <w:p w14:paraId="33FBC338" w14:textId="7A0A3561"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29.6 </w:t>
            </w:r>
          </w:p>
        </w:tc>
      </w:tr>
      <w:tr w:rsidR="000F0963" w:rsidRPr="006176AB" w14:paraId="03ECC614" w14:textId="77777777" w:rsidTr="00791403">
        <w:trPr>
          <w:trHeight w:val="20"/>
        </w:trPr>
        <w:tc>
          <w:tcPr>
            <w:tcW w:w="1301" w:type="pct"/>
            <w:shd w:val="clear" w:color="auto" w:fill="auto"/>
            <w:vAlign w:val="bottom"/>
          </w:tcPr>
          <w:p w14:paraId="19E63856" w14:textId="66DE6DAD" w:rsidR="000F0963" w:rsidRPr="00AC48FA" w:rsidRDefault="000F0963" w:rsidP="004C5579">
            <w:pPr>
              <w:jc w:val="center"/>
              <w:rPr>
                <w:rFonts w:ascii="Arial" w:hAnsi="Arial" w:cs="Arial"/>
                <w:color w:val="000000"/>
                <w:sz w:val="20"/>
                <w:szCs w:val="22"/>
              </w:rPr>
            </w:pPr>
            <w:r w:rsidRPr="00AC48FA">
              <w:rPr>
                <w:rFonts w:ascii="Arial" w:hAnsi="Arial" w:cs="Arial"/>
                <w:color w:val="000000"/>
                <w:sz w:val="20"/>
              </w:rPr>
              <w:t>LT530</w:t>
            </w:r>
          </w:p>
        </w:tc>
        <w:tc>
          <w:tcPr>
            <w:tcW w:w="1302" w:type="pct"/>
            <w:vAlign w:val="center"/>
          </w:tcPr>
          <w:p w14:paraId="300C0B44" w14:textId="3896F2F1" w:rsidR="000F0963" w:rsidRPr="00791403" w:rsidRDefault="000F0963" w:rsidP="00791403">
            <w:pPr>
              <w:jc w:val="center"/>
              <w:rPr>
                <w:rFonts w:ascii="Arial" w:hAnsi="Arial" w:cs="Arial"/>
                <w:sz w:val="20"/>
                <w:szCs w:val="20"/>
              </w:rPr>
            </w:pPr>
            <w:r w:rsidRPr="00791403">
              <w:rPr>
                <w:rFonts w:ascii="Calibri" w:hAnsi="Calibri"/>
                <w:sz w:val="22"/>
                <w:szCs w:val="22"/>
              </w:rPr>
              <w:t>119.4</w:t>
            </w:r>
          </w:p>
        </w:tc>
        <w:tc>
          <w:tcPr>
            <w:tcW w:w="1174" w:type="pct"/>
            <w:shd w:val="clear" w:color="auto" w:fill="auto"/>
            <w:vAlign w:val="center"/>
          </w:tcPr>
          <w:p w14:paraId="5919093E" w14:textId="39856F74"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81.5</w:t>
            </w:r>
          </w:p>
        </w:tc>
        <w:tc>
          <w:tcPr>
            <w:tcW w:w="1223" w:type="pct"/>
            <w:shd w:val="clear" w:color="auto" w:fill="auto"/>
            <w:vAlign w:val="center"/>
          </w:tcPr>
          <w:p w14:paraId="30846BB0" w14:textId="701AA87C"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37.8 </w:t>
            </w:r>
          </w:p>
        </w:tc>
      </w:tr>
      <w:tr w:rsidR="000F0963" w:rsidRPr="006176AB" w14:paraId="55DBAA8D" w14:textId="77777777" w:rsidTr="00791403">
        <w:trPr>
          <w:trHeight w:val="20"/>
        </w:trPr>
        <w:tc>
          <w:tcPr>
            <w:tcW w:w="1301" w:type="pct"/>
            <w:shd w:val="clear" w:color="auto" w:fill="auto"/>
            <w:vAlign w:val="bottom"/>
          </w:tcPr>
          <w:p w14:paraId="3A506305" w14:textId="706946EE" w:rsidR="000F0963" w:rsidRPr="00AC48FA" w:rsidRDefault="000F0963" w:rsidP="004C5579">
            <w:pPr>
              <w:jc w:val="center"/>
              <w:rPr>
                <w:rFonts w:ascii="Arial" w:hAnsi="Arial" w:cs="Arial"/>
                <w:color w:val="000000"/>
                <w:sz w:val="20"/>
                <w:szCs w:val="22"/>
              </w:rPr>
            </w:pPr>
            <w:r w:rsidRPr="00AC48FA">
              <w:rPr>
                <w:rFonts w:ascii="Arial" w:hAnsi="Arial" w:cs="Arial"/>
                <w:color w:val="000000"/>
                <w:sz w:val="20"/>
              </w:rPr>
              <w:t>LT531</w:t>
            </w:r>
          </w:p>
        </w:tc>
        <w:tc>
          <w:tcPr>
            <w:tcW w:w="1302" w:type="pct"/>
            <w:vAlign w:val="center"/>
          </w:tcPr>
          <w:p w14:paraId="38F37F1F" w14:textId="2BEEBFD3" w:rsidR="000F0963" w:rsidRPr="00791403" w:rsidRDefault="000F0963" w:rsidP="00791403">
            <w:pPr>
              <w:jc w:val="center"/>
              <w:rPr>
                <w:rFonts w:ascii="Arial" w:hAnsi="Arial" w:cs="Arial"/>
                <w:sz w:val="20"/>
                <w:szCs w:val="20"/>
              </w:rPr>
            </w:pPr>
            <w:r w:rsidRPr="00791403">
              <w:rPr>
                <w:rFonts w:ascii="Calibri" w:hAnsi="Calibri"/>
                <w:sz w:val="22"/>
                <w:szCs w:val="22"/>
              </w:rPr>
              <w:t>136.3</w:t>
            </w:r>
          </w:p>
        </w:tc>
        <w:tc>
          <w:tcPr>
            <w:tcW w:w="1174" w:type="pct"/>
            <w:shd w:val="clear" w:color="auto" w:fill="auto"/>
            <w:vAlign w:val="center"/>
          </w:tcPr>
          <w:p w14:paraId="7060ACF6" w14:textId="6E81D20B"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102.3</w:t>
            </w:r>
          </w:p>
        </w:tc>
        <w:tc>
          <w:tcPr>
            <w:tcW w:w="1223" w:type="pct"/>
            <w:shd w:val="clear" w:color="auto" w:fill="auto"/>
            <w:vAlign w:val="center"/>
          </w:tcPr>
          <w:p w14:paraId="47D85E5D" w14:textId="300DF8B9"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34.0 </w:t>
            </w:r>
          </w:p>
        </w:tc>
      </w:tr>
      <w:tr w:rsidR="000F0963" w:rsidRPr="006176AB" w14:paraId="70CAE1D9" w14:textId="77777777" w:rsidTr="00791403">
        <w:trPr>
          <w:trHeight w:val="20"/>
        </w:trPr>
        <w:tc>
          <w:tcPr>
            <w:tcW w:w="1301" w:type="pct"/>
            <w:shd w:val="clear" w:color="auto" w:fill="auto"/>
            <w:vAlign w:val="bottom"/>
          </w:tcPr>
          <w:p w14:paraId="41CFB0C6" w14:textId="630C4994" w:rsidR="000F0963" w:rsidRPr="00AC48FA" w:rsidDel="003B7594" w:rsidRDefault="000F0963" w:rsidP="004C5579">
            <w:pPr>
              <w:jc w:val="center"/>
              <w:rPr>
                <w:rFonts w:ascii="Arial" w:hAnsi="Arial" w:cs="Arial"/>
                <w:color w:val="000000"/>
                <w:sz w:val="20"/>
                <w:szCs w:val="22"/>
              </w:rPr>
            </w:pPr>
            <w:r w:rsidRPr="00AC48FA">
              <w:rPr>
                <w:rFonts w:ascii="Arial" w:hAnsi="Arial" w:cs="Arial"/>
                <w:color w:val="000000"/>
                <w:sz w:val="20"/>
              </w:rPr>
              <w:t>LT532</w:t>
            </w:r>
          </w:p>
        </w:tc>
        <w:tc>
          <w:tcPr>
            <w:tcW w:w="1302" w:type="pct"/>
            <w:vAlign w:val="center"/>
          </w:tcPr>
          <w:p w14:paraId="57BD705F" w14:textId="526F51E8" w:rsidR="000F0963" w:rsidRPr="00791403" w:rsidRDefault="000F0963" w:rsidP="00791403">
            <w:pPr>
              <w:jc w:val="center"/>
              <w:rPr>
                <w:rFonts w:ascii="Arial" w:hAnsi="Arial" w:cs="Arial"/>
                <w:sz w:val="20"/>
                <w:szCs w:val="20"/>
              </w:rPr>
            </w:pPr>
            <w:r w:rsidRPr="00791403">
              <w:rPr>
                <w:rFonts w:ascii="Calibri" w:hAnsi="Calibri"/>
                <w:sz w:val="22"/>
                <w:szCs w:val="22"/>
              </w:rPr>
              <w:t>168.7</w:t>
            </w:r>
          </w:p>
        </w:tc>
        <w:tc>
          <w:tcPr>
            <w:tcW w:w="1174" w:type="pct"/>
            <w:shd w:val="clear" w:color="auto" w:fill="auto"/>
            <w:vAlign w:val="center"/>
          </w:tcPr>
          <w:p w14:paraId="198CE18D" w14:textId="65B229E5"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128.1</w:t>
            </w:r>
          </w:p>
        </w:tc>
        <w:tc>
          <w:tcPr>
            <w:tcW w:w="1223" w:type="pct"/>
            <w:shd w:val="clear" w:color="auto" w:fill="auto"/>
            <w:vAlign w:val="center"/>
          </w:tcPr>
          <w:p w14:paraId="4CB5AD6C" w14:textId="10466D33"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40.6 </w:t>
            </w:r>
          </w:p>
        </w:tc>
      </w:tr>
      <w:tr w:rsidR="000F0963" w:rsidRPr="006176AB" w14:paraId="6D3E7BD1" w14:textId="77777777" w:rsidTr="00791403">
        <w:trPr>
          <w:trHeight w:val="20"/>
        </w:trPr>
        <w:tc>
          <w:tcPr>
            <w:tcW w:w="1301" w:type="pct"/>
            <w:shd w:val="clear" w:color="auto" w:fill="auto"/>
            <w:vAlign w:val="bottom"/>
          </w:tcPr>
          <w:p w14:paraId="324724F7" w14:textId="696F9B37" w:rsidR="000F0963" w:rsidRPr="00AC48FA" w:rsidDel="003B7594" w:rsidRDefault="000F0963" w:rsidP="004C5579">
            <w:pPr>
              <w:jc w:val="center"/>
              <w:rPr>
                <w:rFonts w:ascii="Arial" w:hAnsi="Arial" w:cs="Arial"/>
                <w:color w:val="000000"/>
                <w:sz w:val="20"/>
                <w:szCs w:val="22"/>
              </w:rPr>
            </w:pPr>
            <w:r w:rsidRPr="00AC48FA">
              <w:rPr>
                <w:rFonts w:ascii="Arial" w:hAnsi="Arial" w:cs="Arial"/>
                <w:color w:val="000000"/>
                <w:sz w:val="20"/>
              </w:rPr>
              <w:t>LT533</w:t>
            </w:r>
          </w:p>
        </w:tc>
        <w:tc>
          <w:tcPr>
            <w:tcW w:w="1302" w:type="pct"/>
            <w:vAlign w:val="center"/>
          </w:tcPr>
          <w:p w14:paraId="6E61D731" w14:textId="6664061C" w:rsidR="000F0963" w:rsidRPr="00791403" w:rsidRDefault="000F0963" w:rsidP="00791403">
            <w:pPr>
              <w:jc w:val="center"/>
              <w:rPr>
                <w:rFonts w:ascii="Arial" w:hAnsi="Arial" w:cs="Arial"/>
                <w:sz w:val="20"/>
                <w:szCs w:val="20"/>
              </w:rPr>
            </w:pPr>
            <w:r w:rsidRPr="00791403">
              <w:rPr>
                <w:rFonts w:ascii="Calibri" w:hAnsi="Calibri"/>
                <w:sz w:val="22"/>
                <w:szCs w:val="22"/>
              </w:rPr>
              <w:t>199.0</w:t>
            </w:r>
          </w:p>
        </w:tc>
        <w:tc>
          <w:tcPr>
            <w:tcW w:w="1174" w:type="pct"/>
            <w:shd w:val="clear" w:color="auto" w:fill="auto"/>
            <w:vAlign w:val="center"/>
          </w:tcPr>
          <w:p w14:paraId="3A896D3C" w14:textId="74BF68CE"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160.0</w:t>
            </w:r>
          </w:p>
        </w:tc>
        <w:tc>
          <w:tcPr>
            <w:tcW w:w="1223" w:type="pct"/>
            <w:shd w:val="clear" w:color="auto" w:fill="auto"/>
            <w:vAlign w:val="center"/>
          </w:tcPr>
          <w:p w14:paraId="45306925" w14:textId="11A9C97E"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39.0 </w:t>
            </w:r>
          </w:p>
        </w:tc>
      </w:tr>
      <w:tr w:rsidR="000F0963" w:rsidRPr="006176AB" w14:paraId="20F2B8EC" w14:textId="77777777" w:rsidTr="00791403">
        <w:trPr>
          <w:trHeight w:val="20"/>
        </w:trPr>
        <w:tc>
          <w:tcPr>
            <w:tcW w:w="1301" w:type="pct"/>
            <w:shd w:val="clear" w:color="auto" w:fill="auto"/>
            <w:vAlign w:val="bottom"/>
          </w:tcPr>
          <w:p w14:paraId="1120F6CB" w14:textId="79A26EC2" w:rsidR="000F0963" w:rsidRPr="00AC48FA" w:rsidDel="003B7594" w:rsidRDefault="000F0963" w:rsidP="004C5579">
            <w:pPr>
              <w:jc w:val="center"/>
              <w:rPr>
                <w:rFonts w:ascii="Arial" w:hAnsi="Arial" w:cs="Arial"/>
                <w:color w:val="000000"/>
                <w:sz w:val="20"/>
                <w:szCs w:val="22"/>
              </w:rPr>
            </w:pPr>
            <w:r w:rsidRPr="00AC48FA">
              <w:rPr>
                <w:rFonts w:ascii="Arial" w:hAnsi="Arial" w:cs="Arial"/>
                <w:color w:val="000000"/>
                <w:sz w:val="20"/>
              </w:rPr>
              <w:t>LT534</w:t>
            </w:r>
          </w:p>
        </w:tc>
        <w:tc>
          <w:tcPr>
            <w:tcW w:w="1302" w:type="pct"/>
            <w:vAlign w:val="center"/>
          </w:tcPr>
          <w:p w14:paraId="38A87295" w14:textId="2FA40F43" w:rsidR="000F0963" w:rsidRPr="00791403" w:rsidRDefault="000F0963" w:rsidP="00791403">
            <w:pPr>
              <w:jc w:val="center"/>
              <w:rPr>
                <w:rFonts w:ascii="Arial" w:hAnsi="Arial" w:cs="Arial"/>
                <w:sz w:val="20"/>
                <w:szCs w:val="20"/>
              </w:rPr>
            </w:pPr>
            <w:r w:rsidRPr="00791403">
              <w:rPr>
                <w:rFonts w:ascii="Calibri" w:hAnsi="Calibri"/>
                <w:sz w:val="22"/>
                <w:szCs w:val="22"/>
              </w:rPr>
              <w:t>244.7</w:t>
            </w:r>
          </w:p>
        </w:tc>
        <w:tc>
          <w:tcPr>
            <w:tcW w:w="1174" w:type="pct"/>
            <w:shd w:val="clear" w:color="auto" w:fill="auto"/>
            <w:vAlign w:val="center"/>
          </w:tcPr>
          <w:p w14:paraId="314097BF" w14:textId="10652E28"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196.7</w:t>
            </w:r>
          </w:p>
        </w:tc>
        <w:tc>
          <w:tcPr>
            <w:tcW w:w="1223" w:type="pct"/>
            <w:shd w:val="clear" w:color="auto" w:fill="auto"/>
            <w:vAlign w:val="center"/>
          </w:tcPr>
          <w:p w14:paraId="160A3728" w14:textId="550253AE"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48.1 </w:t>
            </w:r>
          </w:p>
        </w:tc>
      </w:tr>
      <w:tr w:rsidR="000F0963" w:rsidRPr="006176AB" w14:paraId="25F605DA" w14:textId="77777777" w:rsidTr="00791403">
        <w:trPr>
          <w:trHeight w:val="20"/>
        </w:trPr>
        <w:tc>
          <w:tcPr>
            <w:tcW w:w="1301" w:type="pct"/>
            <w:shd w:val="clear" w:color="auto" w:fill="auto"/>
            <w:vAlign w:val="bottom"/>
          </w:tcPr>
          <w:p w14:paraId="1AAD02D7" w14:textId="67800A40" w:rsidR="000F0963" w:rsidRPr="00AC48FA" w:rsidDel="003B7594" w:rsidRDefault="000F0963" w:rsidP="004C5579">
            <w:pPr>
              <w:jc w:val="center"/>
              <w:rPr>
                <w:rFonts w:ascii="Arial" w:hAnsi="Arial" w:cs="Arial"/>
                <w:color w:val="000000"/>
                <w:sz w:val="20"/>
                <w:szCs w:val="22"/>
              </w:rPr>
            </w:pPr>
            <w:r w:rsidRPr="00AC48FA">
              <w:rPr>
                <w:rFonts w:ascii="Arial" w:hAnsi="Arial" w:cs="Arial"/>
                <w:color w:val="000000"/>
                <w:sz w:val="20"/>
              </w:rPr>
              <w:t>LT535</w:t>
            </w:r>
          </w:p>
        </w:tc>
        <w:tc>
          <w:tcPr>
            <w:tcW w:w="1302" w:type="pct"/>
            <w:vAlign w:val="center"/>
          </w:tcPr>
          <w:p w14:paraId="7A52A20E" w14:textId="0EBAE16C" w:rsidR="000F0963" w:rsidRPr="00791403" w:rsidRDefault="000F0963" w:rsidP="00791403">
            <w:pPr>
              <w:jc w:val="center"/>
              <w:rPr>
                <w:rFonts w:ascii="Arial" w:hAnsi="Arial" w:cs="Arial"/>
                <w:sz w:val="20"/>
                <w:szCs w:val="20"/>
              </w:rPr>
            </w:pPr>
            <w:r w:rsidRPr="00791403">
              <w:rPr>
                <w:rFonts w:ascii="Calibri" w:hAnsi="Calibri"/>
                <w:sz w:val="22"/>
                <w:szCs w:val="22"/>
              </w:rPr>
              <w:t>303.0</w:t>
            </w:r>
          </w:p>
        </w:tc>
        <w:tc>
          <w:tcPr>
            <w:tcW w:w="1174" w:type="pct"/>
            <w:shd w:val="clear" w:color="auto" w:fill="auto"/>
            <w:vAlign w:val="center"/>
          </w:tcPr>
          <w:p w14:paraId="4F1FFCE1" w14:textId="1DB60EDD"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255.6</w:t>
            </w:r>
          </w:p>
        </w:tc>
        <w:tc>
          <w:tcPr>
            <w:tcW w:w="1223" w:type="pct"/>
            <w:shd w:val="clear" w:color="auto" w:fill="auto"/>
            <w:vAlign w:val="center"/>
          </w:tcPr>
          <w:p w14:paraId="19351F14" w14:textId="2252CA35"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47.4 </w:t>
            </w:r>
          </w:p>
        </w:tc>
      </w:tr>
      <w:tr w:rsidR="000F0963" w:rsidRPr="006176AB" w14:paraId="358E2EF0" w14:textId="77777777" w:rsidTr="00791403">
        <w:trPr>
          <w:trHeight w:val="20"/>
        </w:trPr>
        <w:tc>
          <w:tcPr>
            <w:tcW w:w="1301" w:type="pct"/>
            <w:shd w:val="clear" w:color="auto" w:fill="auto"/>
            <w:vAlign w:val="bottom"/>
          </w:tcPr>
          <w:p w14:paraId="6A4B4FE3" w14:textId="36162A2B" w:rsidR="000F0963" w:rsidRPr="00AC48FA" w:rsidDel="003B7594" w:rsidRDefault="000F0963" w:rsidP="004C5579">
            <w:pPr>
              <w:jc w:val="center"/>
              <w:rPr>
                <w:rFonts w:ascii="Arial" w:hAnsi="Arial" w:cs="Arial"/>
                <w:color w:val="000000"/>
                <w:sz w:val="20"/>
                <w:szCs w:val="22"/>
              </w:rPr>
            </w:pPr>
            <w:r w:rsidRPr="00AC48FA">
              <w:rPr>
                <w:rFonts w:ascii="Arial" w:hAnsi="Arial" w:cs="Arial"/>
                <w:color w:val="000000"/>
                <w:sz w:val="20"/>
              </w:rPr>
              <w:t>LT536</w:t>
            </w:r>
          </w:p>
        </w:tc>
        <w:tc>
          <w:tcPr>
            <w:tcW w:w="1302" w:type="pct"/>
            <w:vAlign w:val="center"/>
          </w:tcPr>
          <w:p w14:paraId="6644B38B" w14:textId="27D0065B" w:rsidR="000F0963" w:rsidRPr="00791403" w:rsidRDefault="000F0963" w:rsidP="00791403">
            <w:pPr>
              <w:jc w:val="center"/>
              <w:rPr>
                <w:rFonts w:ascii="Arial" w:hAnsi="Arial" w:cs="Arial"/>
                <w:sz w:val="20"/>
                <w:szCs w:val="20"/>
              </w:rPr>
            </w:pPr>
            <w:r w:rsidRPr="00791403">
              <w:rPr>
                <w:rFonts w:ascii="Calibri" w:hAnsi="Calibri"/>
                <w:sz w:val="22"/>
                <w:szCs w:val="22"/>
              </w:rPr>
              <w:t>406.6</w:t>
            </w:r>
          </w:p>
        </w:tc>
        <w:tc>
          <w:tcPr>
            <w:tcW w:w="1174" w:type="pct"/>
            <w:shd w:val="clear" w:color="auto" w:fill="auto"/>
            <w:vAlign w:val="center"/>
          </w:tcPr>
          <w:p w14:paraId="74A8D3E7" w14:textId="789FD88A"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332.2</w:t>
            </w:r>
          </w:p>
        </w:tc>
        <w:tc>
          <w:tcPr>
            <w:tcW w:w="1223" w:type="pct"/>
            <w:shd w:val="clear" w:color="auto" w:fill="auto"/>
            <w:vAlign w:val="center"/>
          </w:tcPr>
          <w:p w14:paraId="0BD64127" w14:textId="4CF76504"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74.4 </w:t>
            </w:r>
          </w:p>
        </w:tc>
      </w:tr>
      <w:tr w:rsidR="000F0963" w:rsidRPr="006176AB" w14:paraId="1E84B5E7" w14:textId="77777777" w:rsidTr="00791403">
        <w:trPr>
          <w:trHeight w:val="20"/>
        </w:trPr>
        <w:tc>
          <w:tcPr>
            <w:tcW w:w="1301" w:type="pct"/>
            <w:shd w:val="clear" w:color="auto" w:fill="auto"/>
            <w:vAlign w:val="bottom"/>
          </w:tcPr>
          <w:p w14:paraId="2AAB88C0" w14:textId="0B5C8333" w:rsidR="000F0963" w:rsidRPr="00AC48FA" w:rsidDel="003B7594" w:rsidRDefault="000F0963" w:rsidP="004C5579">
            <w:pPr>
              <w:jc w:val="center"/>
              <w:rPr>
                <w:rFonts w:ascii="Arial" w:hAnsi="Arial" w:cs="Arial"/>
                <w:color w:val="000000"/>
                <w:sz w:val="20"/>
                <w:szCs w:val="22"/>
              </w:rPr>
            </w:pPr>
            <w:r w:rsidRPr="00AC48FA">
              <w:rPr>
                <w:rFonts w:ascii="Arial" w:hAnsi="Arial" w:cs="Arial"/>
                <w:color w:val="000000"/>
                <w:sz w:val="20"/>
              </w:rPr>
              <w:t>LT537</w:t>
            </w:r>
          </w:p>
        </w:tc>
        <w:tc>
          <w:tcPr>
            <w:tcW w:w="1302" w:type="pct"/>
            <w:vAlign w:val="center"/>
          </w:tcPr>
          <w:p w14:paraId="11AA063E" w14:textId="7290AB7F" w:rsidR="000F0963" w:rsidRPr="00791403" w:rsidRDefault="000F0963" w:rsidP="00791403">
            <w:pPr>
              <w:jc w:val="center"/>
              <w:rPr>
                <w:rFonts w:ascii="Arial" w:hAnsi="Arial" w:cs="Arial"/>
                <w:sz w:val="20"/>
                <w:szCs w:val="20"/>
              </w:rPr>
            </w:pPr>
            <w:r w:rsidRPr="00791403">
              <w:rPr>
                <w:rFonts w:ascii="Arial" w:hAnsi="Arial" w:cs="Arial"/>
                <w:sz w:val="20"/>
                <w:szCs w:val="20"/>
              </w:rPr>
              <w:t>525.7</w:t>
            </w:r>
          </w:p>
        </w:tc>
        <w:tc>
          <w:tcPr>
            <w:tcW w:w="1174" w:type="pct"/>
            <w:shd w:val="clear" w:color="auto" w:fill="auto"/>
            <w:vAlign w:val="center"/>
          </w:tcPr>
          <w:p w14:paraId="42BE3FDB" w14:textId="55B547E7" w:rsidR="000F0963" w:rsidRPr="00AC48FA" w:rsidRDefault="000F0963" w:rsidP="004C5579">
            <w:pPr>
              <w:jc w:val="center"/>
              <w:rPr>
                <w:rFonts w:ascii="Arial" w:hAnsi="Arial" w:cs="Arial"/>
                <w:color w:val="000000"/>
                <w:sz w:val="20"/>
                <w:szCs w:val="20"/>
              </w:rPr>
            </w:pPr>
            <w:r>
              <w:rPr>
                <w:rFonts w:ascii="Calibri" w:hAnsi="Calibri"/>
                <w:color w:val="000000"/>
                <w:sz w:val="22"/>
                <w:szCs w:val="22"/>
              </w:rPr>
              <w:t>431.8</w:t>
            </w:r>
          </w:p>
        </w:tc>
        <w:tc>
          <w:tcPr>
            <w:tcW w:w="1223" w:type="pct"/>
            <w:shd w:val="clear" w:color="auto" w:fill="auto"/>
            <w:vAlign w:val="center"/>
          </w:tcPr>
          <w:p w14:paraId="17A48B67" w14:textId="5C636859" w:rsidR="000F0963" w:rsidRPr="000F0963" w:rsidRDefault="000F0963" w:rsidP="004C5579">
            <w:pPr>
              <w:jc w:val="center"/>
              <w:rPr>
                <w:rFonts w:ascii="Arial" w:hAnsi="Arial" w:cs="Arial"/>
                <w:sz w:val="20"/>
                <w:szCs w:val="20"/>
              </w:rPr>
            </w:pPr>
            <w:r w:rsidRPr="000F0963">
              <w:rPr>
                <w:rFonts w:ascii="Calibri" w:hAnsi="Calibri"/>
                <w:sz w:val="22"/>
                <w:szCs w:val="22"/>
              </w:rPr>
              <w:t xml:space="preserve">        93.8 </w:t>
            </w:r>
          </w:p>
        </w:tc>
      </w:tr>
    </w:tbl>
    <w:p w14:paraId="4633576D" w14:textId="12C4F1ED" w:rsidR="00EF6429" w:rsidRDefault="00EF6429" w:rsidP="001A3026">
      <w:pPr>
        <w:rPr>
          <w:rFonts w:ascii="Arial" w:hAnsi="Arial" w:cs="Arial"/>
          <w:sz w:val="20"/>
          <w:szCs w:val="20"/>
          <w:highlight w:val="yellow"/>
        </w:rPr>
      </w:pPr>
    </w:p>
    <w:p w14:paraId="265611B8" w14:textId="2A3C2172" w:rsidR="005F710F" w:rsidRPr="005F710F" w:rsidRDefault="005F710F" w:rsidP="005F710F">
      <w:pPr>
        <w:rPr>
          <w:rFonts w:ascii="Arial" w:hAnsi="Arial" w:cs="Arial"/>
          <w:b/>
          <w:sz w:val="20"/>
          <w:szCs w:val="20"/>
        </w:rPr>
      </w:pPr>
      <w:r w:rsidRPr="005F710F">
        <w:rPr>
          <w:rFonts w:ascii="Arial" w:hAnsi="Arial" w:cs="Arial"/>
          <w:b/>
          <w:sz w:val="20"/>
          <w:szCs w:val="20"/>
        </w:rPr>
        <w:t>Calculation Method Process</w:t>
      </w:r>
      <w:r w:rsidR="00EC1A20">
        <w:rPr>
          <w:rFonts w:ascii="Arial" w:hAnsi="Arial" w:cs="Arial"/>
          <w:b/>
          <w:sz w:val="20"/>
          <w:szCs w:val="20"/>
        </w:rPr>
        <w:t xml:space="preserve"> for Defining Measures</w:t>
      </w:r>
    </w:p>
    <w:p w14:paraId="5D922590" w14:textId="13AFF348" w:rsidR="002C1CFC" w:rsidRPr="00116E72" w:rsidRDefault="002C1CFC" w:rsidP="00AC48FA">
      <w:pPr>
        <w:contextualSpacing/>
        <w:rPr>
          <w:rFonts w:ascii="Arial" w:hAnsi="Arial" w:cs="Arial"/>
          <w:sz w:val="20"/>
          <w:szCs w:val="20"/>
        </w:rPr>
      </w:pPr>
      <w:r>
        <w:rPr>
          <w:rFonts w:ascii="Arial" w:hAnsi="Arial" w:cs="Arial"/>
          <w:sz w:val="20"/>
          <w:szCs w:val="20"/>
        </w:rPr>
        <w:t>The</w:t>
      </w:r>
      <w:r w:rsidR="00116E72">
        <w:rPr>
          <w:rFonts w:ascii="Arial" w:hAnsi="Arial" w:cs="Arial"/>
          <w:sz w:val="20"/>
          <w:szCs w:val="20"/>
        </w:rPr>
        <w:t xml:space="preserve"> zonal lumen percentage is the </w:t>
      </w:r>
      <w:r w:rsidR="00972181">
        <w:rPr>
          <w:rFonts w:ascii="Arial" w:hAnsi="Arial" w:cs="Arial"/>
          <w:sz w:val="20"/>
          <w:szCs w:val="20"/>
        </w:rPr>
        <w:t xml:space="preserve">share </w:t>
      </w:r>
      <w:r w:rsidR="00116E72">
        <w:rPr>
          <w:rFonts w:ascii="Arial" w:hAnsi="Arial" w:cs="Arial"/>
          <w:sz w:val="20"/>
          <w:szCs w:val="20"/>
        </w:rPr>
        <w:t xml:space="preserve">of lumens in the 20-50 degree zone from nadir compared to the total lumen output of the fixture.  </w:t>
      </w:r>
      <w:r w:rsidR="003B7594">
        <w:rPr>
          <w:rFonts w:ascii="Arial" w:hAnsi="Arial" w:cs="Arial"/>
          <w:sz w:val="20"/>
          <w:szCs w:val="20"/>
        </w:rPr>
        <w:t>For LEDs (including TLEDs), t</w:t>
      </w:r>
      <w:r w:rsidR="00116E72">
        <w:rPr>
          <w:rFonts w:ascii="Arial" w:hAnsi="Arial" w:cs="Arial"/>
          <w:sz w:val="20"/>
          <w:szCs w:val="20"/>
        </w:rPr>
        <w:t>his was calculated using an average of all of the DLC QPL</w:t>
      </w:r>
      <w:r w:rsidR="00D7474A">
        <w:rPr>
          <w:rFonts w:ascii="Arial" w:hAnsi="Arial" w:cs="Arial"/>
          <w:sz w:val="20"/>
          <w:szCs w:val="20"/>
        </w:rPr>
        <w:t xml:space="preserve"> entrie</w:t>
      </w:r>
      <w:r w:rsidR="003B7594">
        <w:rPr>
          <w:rFonts w:ascii="Arial" w:hAnsi="Arial" w:cs="Arial"/>
          <w:sz w:val="20"/>
          <w:szCs w:val="20"/>
        </w:rPr>
        <w:t>s; t</w:t>
      </w:r>
      <w:r w:rsidR="00D7474A">
        <w:rPr>
          <w:rFonts w:ascii="Arial" w:hAnsi="Arial" w:cs="Arial"/>
          <w:sz w:val="20"/>
          <w:szCs w:val="20"/>
        </w:rPr>
        <w:t>he</w:t>
      </w:r>
      <w:r w:rsidR="00116E72">
        <w:rPr>
          <w:rFonts w:ascii="Arial" w:hAnsi="Arial" w:cs="Arial"/>
          <w:sz w:val="20"/>
          <w:szCs w:val="20"/>
        </w:rPr>
        <w:t xml:space="preserve"> value is 53.6%.</w:t>
      </w:r>
      <w:r w:rsidR="003B7594">
        <w:rPr>
          <w:rFonts w:ascii="Arial" w:hAnsi="Arial" w:cs="Arial"/>
          <w:sz w:val="20"/>
          <w:szCs w:val="20"/>
        </w:rPr>
        <w:t xml:space="preserve"> For Fluorescents, the Zonal Lumens, fixture efficiency, and other performance metrics were calculated from a sample of high bay fixtures, with the results shown in the table below.</w:t>
      </w:r>
    </w:p>
    <w:p w14:paraId="4F61E072" w14:textId="6BE8213F" w:rsidR="002040A8" w:rsidRPr="00457464" w:rsidRDefault="002040A8" w:rsidP="005F710F">
      <w:pPr>
        <w:rPr>
          <w:rFonts w:ascii="Arial" w:hAnsi="Arial" w:cs="Arial"/>
          <w:b/>
          <w:bCs/>
          <w:sz w:val="20"/>
          <w:szCs w:val="20"/>
        </w:rPr>
      </w:pPr>
    </w:p>
    <w:p w14:paraId="7E94B446" w14:textId="5CE4C337" w:rsidR="002040A8" w:rsidRPr="00CC1031" w:rsidRDefault="002040A8" w:rsidP="00D7474A">
      <w:pPr>
        <w:pStyle w:val="Caption"/>
        <w:keepNext/>
        <w:jc w:val="center"/>
      </w:pPr>
      <w:bookmarkStart w:id="131" w:name="_Toc511038017"/>
      <w:bookmarkStart w:id="132" w:name="_Toc511244282"/>
      <w:bookmarkStart w:id="133" w:name="_Toc511244307"/>
      <w:bookmarkStart w:id="134" w:name="_Toc2804946"/>
      <w:r w:rsidRPr="00CC1031">
        <w:t xml:space="preserve">Table </w:t>
      </w:r>
      <w:fldSimple w:instr=" SEQ Table \* ARABIC ">
        <w:r w:rsidR="007D2501">
          <w:rPr>
            <w:noProof/>
          </w:rPr>
          <w:t>1</w:t>
        </w:r>
      </w:fldSimple>
      <w:r w:rsidR="004C5579">
        <w:rPr>
          <w:noProof/>
        </w:rPr>
        <w:t>5</w:t>
      </w:r>
      <w:r w:rsidR="002C1CFC" w:rsidRPr="00CC1031">
        <w:t xml:space="preserve"> Example Calculation of Fixture Efficiency and Fixture Lumens</w:t>
      </w:r>
      <w:bookmarkEnd w:id="131"/>
      <w:bookmarkEnd w:id="132"/>
      <w:bookmarkEnd w:id="133"/>
      <w:bookmarkEnd w:id="134"/>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6"/>
        <w:gridCol w:w="1352"/>
        <w:gridCol w:w="1214"/>
        <w:gridCol w:w="1644"/>
        <w:gridCol w:w="1642"/>
        <w:gridCol w:w="1640"/>
      </w:tblGrid>
      <w:tr w:rsidR="002C1CFC" w:rsidRPr="00457464" w14:paraId="2B08080B" w14:textId="5A73369D" w:rsidTr="00E35C1C">
        <w:trPr>
          <w:trHeight w:val="485"/>
          <w:jc w:val="center"/>
        </w:trPr>
        <w:tc>
          <w:tcPr>
            <w:tcW w:w="1089" w:type="pct"/>
            <w:shd w:val="clear" w:color="auto" w:fill="D9D9D9"/>
            <w:vAlign w:val="center"/>
            <w:hideMark/>
          </w:tcPr>
          <w:p w14:paraId="6299F2EB" w14:textId="77777777" w:rsidR="002C1CFC" w:rsidRPr="00457464" w:rsidRDefault="002C1CFC" w:rsidP="00457464">
            <w:pPr>
              <w:jc w:val="center"/>
              <w:rPr>
                <w:rFonts w:ascii="Arial" w:hAnsi="Arial" w:cs="Arial"/>
                <w:b/>
                <w:color w:val="000000"/>
                <w:sz w:val="20"/>
                <w:szCs w:val="20"/>
              </w:rPr>
            </w:pPr>
            <w:r w:rsidRPr="00E35C1C">
              <w:rPr>
                <w:rFonts w:ascii="Arial" w:hAnsi="Arial"/>
                <w:b/>
                <w:color w:val="000000"/>
                <w:sz w:val="20"/>
              </w:rPr>
              <w:t>Type</w:t>
            </w:r>
          </w:p>
        </w:tc>
        <w:tc>
          <w:tcPr>
            <w:tcW w:w="706" w:type="pct"/>
            <w:shd w:val="clear" w:color="auto" w:fill="D9D9D9"/>
            <w:vAlign w:val="center"/>
            <w:hideMark/>
          </w:tcPr>
          <w:p w14:paraId="4708FF2E" w14:textId="5C864632" w:rsidR="002C1CFC" w:rsidRPr="00457464" w:rsidRDefault="002C1CFC" w:rsidP="00457464">
            <w:pPr>
              <w:jc w:val="center"/>
              <w:rPr>
                <w:rFonts w:ascii="Arial" w:hAnsi="Arial" w:cs="Arial"/>
                <w:b/>
                <w:color w:val="000000"/>
                <w:sz w:val="20"/>
                <w:szCs w:val="20"/>
              </w:rPr>
            </w:pPr>
            <w:r w:rsidRPr="00E35C1C">
              <w:rPr>
                <w:rFonts w:ascii="Arial" w:hAnsi="Arial"/>
                <w:b/>
                <w:color w:val="000000"/>
                <w:sz w:val="20"/>
              </w:rPr>
              <w:t xml:space="preserve">Fluorescent </w:t>
            </w:r>
            <w:r w:rsidR="003B7594" w:rsidRPr="00E35C1C">
              <w:rPr>
                <w:rFonts w:ascii="Arial" w:hAnsi="Arial"/>
                <w:b/>
                <w:color w:val="000000"/>
                <w:sz w:val="20"/>
              </w:rPr>
              <w:t>Fixture Efficiency</w:t>
            </w:r>
          </w:p>
        </w:tc>
        <w:tc>
          <w:tcPr>
            <w:tcW w:w="634" w:type="pct"/>
            <w:shd w:val="clear" w:color="auto" w:fill="D9D9D9"/>
            <w:vAlign w:val="center"/>
            <w:hideMark/>
          </w:tcPr>
          <w:p w14:paraId="3F32716F" w14:textId="77777777" w:rsidR="002C1CFC" w:rsidRPr="00457464" w:rsidRDefault="002C1CFC" w:rsidP="00457464">
            <w:pPr>
              <w:jc w:val="center"/>
              <w:rPr>
                <w:rFonts w:ascii="Arial" w:hAnsi="Arial" w:cs="Arial"/>
                <w:b/>
                <w:color w:val="000000"/>
                <w:sz w:val="20"/>
                <w:szCs w:val="20"/>
              </w:rPr>
            </w:pPr>
            <w:r w:rsidRPr="00E35C1C">
              <w:rPr>
                <w:rFonts w:ascii="Arial" w:hAnsi="Arial"/>
                <w:b/>
                <w:color w:val="000000"/>
                <w:sz w:val="20"/>
              </w:rPr>
              <w:t>Ballast Factor</w:t>
            </w:r>
          </w:p>
        </w:tc>
        <w:tc>
          <w:tcPr>
            <w:tcW w:w="858" w:type="pct"/>
            <w:shd w:val="clear" w:color="auto" w:fill="D9D9D9"/>
            <w:vAlign w:val="center"/>
            <w:hideMark/>
          </w:tcPr>
          <w:p w14:paraId="0D36947B" w14:textId="51B3A3C5" w:rsidR="002C1CFC" w:rsidRPr="00457464" w:rsidRDefault="002C1CFC" w:rsidP="00457464">
            <w:pPr>
              <w:jc w:val="center"/>
              <w:rPr>
                <w:rFonts w:ascii="Arial" w:hAnsi="Arial" w:cs="Arial"/>
                <w:b/>
                <w:color w:val="000000"/>
                <w:sz w:val="20"/>
                <w:szCs w:val="20"/>
              </w:rPr>
            </w:pPr>
            <w:r w:rsidRPr="00E35C1C">
              <w:rPr>
                <w:rFonts w:ascii="Arial" w:hAnsi="Arial"/>
                <w:b/>
                <w:color w:val="000000"/>
                <w:sz w:val="20"/>
              </w:rPr>
              <w:t>T8 Lamp Lumens</w:t>
            </w:r>
          </w:p>
        </w:tc>
        <w:tc>
          <w:tcPr>
            <w:tcW w:w="857" w:type="pct"/>
            <w:shd w:val="clear" w:color="auto" w:fill="D9D9D9"/>
            <w:vAlign w:val="center"/>
          </w:tcPr>
          <w:p w14:paraId="01EAEE68" w14:textId="5348F7E0" w:rsidR="002C1CFC" w:rsidRPr="00457464" w:rsidRDefault="003B7594" w:rsidP="00457464">
            <w:pPr>
              <w:jc w:val="center"/>
              <w:rPr>
                <w:rFonts w:ascii="Arial" w:hAnsi="Arial" w:cs="Arial"/>
                <w:b/>
                <w:color w:val="000000"/>
                <w:sz w:val="20"/>
                <w:szCs w:val="20"/>
              </w:rPr>
            </w:pPr>
            <w:r w:rsidRPr="00E35C1C">
              <w:rPr>
                <w:rFonts w:ascii="Arial" w:hAnsi="Arial"/>
                <w:b/>
                <w:color w:val="000000"/>
                <w:sz w:val="20"/>
              </w:rPr>
              <w:t>Zonal Lumen Percentage</w:t>
            </w:r>
          </w:p>
        </w:tc>
        <w:tc>
          <w:tcPr>
            <w:tcW w:w="856" w:type="pct"/>
            <w:shd w:val="clear" w:color="auto" w:fill="D9D9D9"/>
            <w:vAlign w:val="center"/>
          </w:tcPr>
          <w:p w14:paraId="2CC8B658" w14:textId="77777777" w:rsidR="002C1CFC" w:rsidRPr="00457464" w:rsidRDefault="002C1CFC" w:rsidP="00457464">
            <w:pPr>
              <w:jc w:val="center"/>
              <w:rPr>
                <w:rFonts w:ascii="Arial" w:hAnsi="Arial" w:cs="Arial"/>
                <w:b/>
                <w:color w:val="000000"/>
                <w:sz w:val="20"/>
                <w:szCs w:val="20"/>
              </w:rPr>
            </w:pPr>
            <w:r w:rsidRPr="00E35C1C">
              <w:rPr>
                <w:rFonts w:ascii="Arial" w:hAnsi="Arial"/>
                <w:b/>
                <w:color w:val="000000"/>
                <w:sz w:val="20"/>
              </w:rPr>
              <w:t>Fixture Lumens</w:t>
            </w:r>
          </w:p>
        </w:tc>
      </w:tr>
      <w:tr w:rsidR="002C1CFC" w:rsidRPr="00457464" w14:paraId="3C505A69" w14:textId="52398159" w:rsidTr="002C1CFC">
        <w:trPr>
          <w:trHeight w:val="288"/>
          <w:jc w:val="center"/>
        </w:trPr>
        <w:tc>
          <w:tcPr>
            <w:tcW w:w="1089" w:type="pct"/>
            <w:shd w:val="clear" w:color="auto" w:fill="auto"/>
            <w:noWrap/>
            <w:vAlign w:val="center"/>
            <w:hideMark/>
          </w:tcPr>
          <w:p w14:paraId="6E294FB5" w14:textId="77777777" w:rsidR="002C1CFC" w:rsidRPr="00457464" w:rsidRDefault="002C1CFC" w:rsidP="00457464">
            <w:pPr>
              <w:jc w:val="center"/>
              <w:rPr>
                <w:rFonts w:ascii="Arial" w:hAnsi="Arial" w:cs="Arial"/>
                <w:color w:val="000000"/>
                <w:sz w:val="20"/>
                <w:szCs w:val="20"/>
              </w:rPr>
            </w:pPr>
            <w:r w:rsidRPr="00E35C1C">
              <w:rPr>
                <w:rFonts w:ascii="Arial" w:hAnsi="Arial"/>
                <w:color w:val="000000"/>
                <w:sz w:val="20"/>
              </w:rPr>
              <w:t>Fluorescent</w:t>
            </w:r>
          </w:p>
        </w:tc>
        <w:tc>
          <w:tcPr>
            <w:tcW w:w="706" w:type="pct"/>
            <w:shd w:val="clear" w:color="auto" w:fill="auto"/>
            <w:noWrap/>
            <w:vAlign w:val="center"/>
            <w:hideMark/>
          </w:tcPr>
          <w:p w14:paraId="41E3B80F" w14:textId="499CF99B" w:rsidR="002C1CFC" w:rsidRPr="00457464" w:rsidRDefault="003B7594" w:rsidP="00457464">
            <w:pPr>
              <w:jc w:val="center"/>
              <w:rPr>
                <w:rFonts w:ascii="Arial" w:hAnsi="Arial" w:cs="Arial"/>
                <w:color w:val="000000"/>
                <w:sz w:val="20"/>
                <w:szCs w:val="20"/>
              </w:rPr>
            </w:pPr>
            <w:r w:rsidRPr="00E35C1C">
              <w:rPr>
                <w:rFonts w:ascii="Arial" w:hAnsi="Arial"/>
                <w:color w:val="000000"/>
                <w:sz w:val="20"/>
              </w:rPr>
              <w:t>89%</w:t>
            </w:r>
          </w:p>
        </w:tc>
        <w:tc>
          <w:tcPr>
            <w:tcW w:w="634" w:type="pct"/>
            <w:shd w:val="clear" w:color="auto" w:fill="auto"/>
            <w:noWrap/>
            <w:vAlign w:val="center"/>
            <w:hideMark/>
          </w:tcPr>
          <w:p w14:paraId="5818E11A" w14:textId="77777777" w:rsidR="002C1CFC" w:rsidRPr="00457464" w:rsidRDefault="002C1CFC" w:rsidP="00457464">
            <w:pPr>
              <w:jc w:val="center"/>
              <w:rPr>
                <w:rFonts w:ascii="Arial" w:hAnsi="Arial" w:cs="Arial"/>
                <w:color w:val="000000"/>
                <w:sz w:val="20"/>
                <w:szCs w:val="20"/>
              </w:rPr>
            </w:pPr>
            <w:r w:rsidRPr="00E35C1C">
              <w:rPr>
                <w:rFonts w:ascii="Arial" w:hAnsi="Arial"/>
                <w:color w:val="000000"/>
                <w:sz w:val="20"/>
              </w:rPr>
              <w:t>1.15</w:t>
            </w:r>
          </w:p>
        </w:tc>
        <w:tc>
          <w:tcPr>
            <w:tcW w:w="858" w:type="pct"/>
            <w:shd w:val="clear" w:color="auto" w:fill="auto"/>
            <w:noWrap/>
            <w:vAlign w:val="center"/>
            <w:hideMark/>
          </w:tcPr>
          <w:p w14:paraId="4D80917D" w14:textId="5B8CBABD" w:rsidR="002C1CFC" w:rsidRPr="00E35C1C" w:rsidRDefault="003B7594" w:rsidP="00457464">
            <w:pPr>
              <w:jc w:val="center"/>
              <w:rPr>
                <w:rFonts w:ascii="Arial" w:hAnsi="Arial" w:cs="Arial"/>
                <w:color w:val="000000"/>
                <w:sz w:val="20"/>
                <w:szCs w:val="20"/>
              </w:rPr>
            </w:pPr>
            <w:r w:rsidRPr="00E35C1C">
              <w:rPr>
                <w:rFonts w:ascii="Arial" w:hAnsi="Arial" w:cs="Arial"/>
                <w:color w:val="000000"/>
                <w:sz w:val="20"/>
                <w:szCs w:val="20"/>
              </w:rPr>
              <w:t>2957</w:t>
            </w:r>
          </w:p>
        </w:tc>
        <w:tc>
          <w:tcPr>
            <w:tcW w:w="857" w:type="pct"/>
          </w:tcPr>
          <w:p w14:paraId="585A4997" w14:textId="56CBBEE6" w:rsidR="002C1CFC" w:rsidRPr="00E35C1C" w:rsidRDefault="003B7594" w:rsidP="00457464">
            <w:pPr>
              <w:jc w:val="center"/>
              <w:rPr>
                <w:rFonts w:ascii="Arial" w:hAnsi="Arial" w:cs="Arial"/>
                <w:color w:val="000000"/>
                <w:sz w:val="20"/>
                <w:szCs w:val="20"/>
              </w:rPr>
            </w:pPr>
            <w:r w:rsidRPr="00E35C1C">
              <w:rPr>
                <w:rFonts w:ascii="Arial" w:hAnsi="Arial" w:cs="Arial"/>
                <w:color w:val="000000"/>
                <w:sz w:val="20"/>
                <w:szCs w:val="20"/>
              </w:rPr>
              <w:t>44.7%</w:t>
            </w:r>
          </w:p>
        </w:tc>
        <w:tc>
          <w:tcPr>
            <w:tcW w:w="856" w:type="pct"/>
          </w:tcPr>
          <w:p w14:paraId="1AC61640" w14:textId="0402FB59" w:rsidR="002C1CFC" w:rsidRPr="00E35C1C" w:rsidRDefault="002C1CFC" w:rsidP="00457464">
            <w:pPr>
              <w:jc w:val="center"/>
              <w:rPr>
                <w:rFonts w:ascii="Arial" w:hAnsi="Arial" w:cs="Arial"/>
                <w:color w:val="000000"/>
                <w:sz w:val="20"/>
                <w:szCs w:val="20"/>
              </w:rPr>
            </w:pPr>
            <w:r w:rsidRPr="00E35C1C">
              <w:rPr>
                <w:rFonts w:ascii="Arial" w:hAnsi="Arial" w:cs="Arial"/>
                <w:color w:val="000000"/>
                <w:sz w:val="20"/>
                <w:szCs w:val="20"/>
              </w:rPr>
              <w:t>5,286</w:t>
            </w:r>
          </w:p>
        </w:tc>
      </w:tr>
    </w:tbl>
    <w:p w14:paraId="676F87CE" w14:textId="65BDF5DF" w:rsidR="009E01EA" w:rsidRDefault="009E01EA" w:rsidP="005F710F">
      <w:pPr>
        <w:rPr>
          <w:rFonts w:ascii="Arial" w:hAnsi="Arial" w:cs="Arial"/>
          <w:b/>
          <w:bCs/>
          <w:sz w:val="20"/>
          <w:szCs w:val="20"/>
        </w:rPr>
      </w:pPr>
    </w:p>
    <w:p w14:paraId="4328BE42" w14:textId="383AB64B" w:rsidR="00D7474A" w:rsidRPr="00116E72" w:rsidRDefault="00D7474A" w:rsidP="006666F0">
      <w:pPr>
        <w:numPr>
          <w:ilvl w:val="0"/>
          <w:numId w:val="20"/>
        </w:numPr>
        <w:contextualSpacing/>
        <w:rPr>
          <w:rFonts w:ascii="Arial" w:hAnsi="Arial" w:cs="Arial"/>
          <w:sz w:val="20"/>
          <w:szCs w:val="20"/>
        </w:rPr>
      </w:pPr>
      <w:r>
        <w:rPr>
          <w:rFonts w:ascii="Arial" w:hAnsi="Arial" w:cs="Arial"/>
          <w:sz w:val="20"/>
          <w:szCs w:val="20"/>
        </w:rPr>
        <w:t xml:space="preserve">To calculate the equivalent total lumens of service for LED, the </w:t>
      </w:r>
      <w:r w:rsidR="00972181">
        <w:rPr>
          <w:rFonts w:ascii="Arial" w:hAnsi="Arial" w:cs="Arial"/>
          <w:sz w:val="20"/>
          <w:szCs w:val="20"/>
        </w:rPr>
        <w:t xml:space="preserve">fluorescent </w:t>
      </w:r>
      <w:r>
        <w:rPr>
          <w:rFonts w:ascii="Arial" w:hAnsi="Arial" w:cs="Arial"/>
          <w:sz w:val="20"/>
          <w:szCs w:val="20"/>
        </w:rPr>
        <w:t>fixture lumens are multiplied by the ratio of fluorescent zonal lumen percentage to LED zonal lumen percentage.</w:t>
      </w:r>
    </w:p>
    <w:p w14:paraId="4E3B943A" w14:textId="77777777" w:rsidR="002C1CFC" w:rsidRPr="00D60997" w:rsidRDefault="002C1CFC" w:rsidP="005F710F">
      <w:pPr>
        <w:rPr>
          <w:rFonts w:ascii="Arial" w:hAnsi="Arial" w:cs="Arial"/>
          <w:b/>
          <w:bCs/>
          <w:sz w:val="20"/>
          <w:szCs w:val="20"/>
        </w:rPr>
      </w:pPr>
    </w:p>
    <w:p w14:paraId="00FBF42F" w14:textId="61CE386F" w:rsidR="00D7474A" w:rsidRPr="00CC1031" w:rsidRDefault="00D7474A" w:rsidP="00D60997">
      <w:pPr>
        <w:pStyle w:val="Caption"/>
        <w:keepNext/>
        <w:jc w:val="center"/>
      </w:pPr>
      <w:bookmarkStart w:id="135" w:name="_Toc511038018"/>
      <w:bookmarkStart w:id="136" w:name="_Toc511244283"/>
      <w:bookmarkStart w:id="137" w:name="_Toc511244308"/>
      <w:bookmarkStart w:id="138" w:name="_Toc2804947"/>
      <w:r w:rsidRPr="00CC1031">
        <w:t xml:space="preserve">Table </w:t>
      </w:r>
      <w:fldSimple w:instr=" SEQ Table \* ARABIC ">
        <w:r w:rsidR="004C5579">
          <w:rPr>
            <w:noProof/>
          </w:rPr>
          <w:t>16</w:t>
        </w:r>
      </w:fldSimple>
      <w:r w:rsidRPr="00CC1031">
        <w:t xml:space="preserve"> Equivalent LED </w:t>
      </w:r>
      <w:r w:rsidR="00D60997" w:rsidRPr="00CC1031">
        <w:t>Lumen O</w:t>
      </w:r>
      <w:r w:rsidRPr="00CC1031">
        <w:t xml:space="preserve">utput for </w:t>
      </w:r>
      <w:r w:rsidR="00D60997" w:rsidRPr="00CC1031">
        <w:t>S</w:t>
      </w:r>
      <w:r w:rsidRPr="00CC1031">
        <w:t xml:space="preserve">imilar </w:t>
      </w:r>
      <w:r w:rsidR="00D60997" w:rsidRPr="00CC1031">
        <w:t>L</w:t>
      </w:r>
      <w:r w:rsidRPr="00CC1031">
        <w:t xml:space="preserve">evels of </w:t>
      </w:r>
      <w:r w:rsidR="00D60997" w:rsidRPr="00CC1031">
        <w:t>S</w:t>
      </w:r>
      <w:r w:rsidRPr="00CC1031">
        <w:t>ervice</w:t>
      </w:r>
      <w:bookmarkEnd w:id="135"/>
      <w:bookmarkEnd w:id="136"/>
      <w:bookmarkEnd w:id="137"/>
      <w:bookmarkEnd w:id="13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2394"/>
        <w:gridCol w:w="2394"/>
        <w:gridCol w:w="2394"/>
      </w:tblGrid>
      <w:tr w:rsidR="00D60997" w:rsidRPr="00457464" w14:paraId="41AE38DE" w14:textId="7B273238" w:rsidTr="00E35C1C">
        <w:trPr>
          <w:trHeight w:val="485"/>
          <w:jc w:val="center"/>
        </w:trPr>
        <w:tc>
          <w:tcPr>
            <w:tcW w:w="1250" w:type="pct"/>
            <w:shd w:val="clear" w:color="auto" w:fill="D9D9D9"/>
            <w:vAlign w:val="center"/>
          </w:tcPr>
          <w:p w14:paraId="3ABC7407" w14:textId="461280B4" w:rsidR="00D60997" w:rsidRPr="00457464" w:rsidRDefault="00D60997" w:rsidP="00646D0E">
            <w:pPr>
              <w:jc w:val="center"/>
              <w:rPr>
                <w:rFonts w:ascii="Arial" w:hAnsi="Arial" w:cs="Arial"/>
                <w:b/>
                <w:color w:val="000000"/>
                <w:sz w:val="20"/>
                <w:szCs w:val="20"/>
              </w:rPr>
            </w:pPr>
            <w:r w:rsidRPr="00E35C1C">
              <w:rPr>
                <w:rFonts w:ascii="Arial" w:hAnsi="Arial"/>
                <w:b/>
                <w:color w:val="000000"/>
                <w:sz w:val="20"/>
              </w:rPr>
              <w:t>Fluor ZL %</w:t>
            </w:r>
          </w:p>
        </w:tc>
        <w:tc>
          <w:tcPr>
            <w:tcW w:w="1250" w:type="pct"/>
            <w:shd w:val="clear" w:color="auto" w:fill="D9D9D9"/>
            <w:vAlign w:val="center"/>
          </w:tcPr>
          <w:p w14:paraId="6ABC0C67" w14:textId="51DCFCFE" w:rsidR="00D60997" w:rsidRPr="00457464" w:rsidRDefault="00D60997" w:rsidP="00646D0E">
            <w:pPr>
              <w:jc w:val="center"/>
              <w:rPr>
                <w:rFonts w:ascii="Arial" w:hAnsi="Arial" w:cs="Arial"/>
                <w:b/>
                <w:color w:val="000000"/>
                <w:sz w:val="20"/>
                <w:szCs w:val="20"/>
              </w:rPr>
            </w:pPr>
            <w:r w:rsidRPr="00E35C1C">
              <w:rPr>
                <w:rFonts w:ascii="Arial" w:hAnsi="Arial"/>
                <w:b/>
                <w:color w:val="000000"/>
                <w:sz w:val="20"/>
              </w:rPr>
              <w:t>LED ZL %</w:t>
            </w:r>
          </w:p>
        </w:tc>
        <w:tc>
          <w:tcPr>
            <w:tcW w:w="1250" w:type="pct"/>
            <w:shd w:val="clear" w:color="auto" w:fill="D9D9D9"/>
            <w:vAlign w:val="center"/>
          </w:tcPr>
          <w:p w14:paraId="4B34BFC8" w14:textId="12A30960" w:rsidR="00D60997" w:rsidRPr="00457464" w:rsidRDefault="00D60997" w:rsidP="00646D0E">
            <w:pPr>
              <w:jc w:val="center"/>
              <w:rPr>
                <w:rFonts w:ascii="Arial" w:hAnsi="Arial" w:cs="Arial"/>
                <w:b/>
                <w:color w:val="000000"/>
                <w:sz w:val="20"/>
                <w:szCs w:val="20"/>
              </w:rPr>
            </w:pPr>
            <w:r w:rsidRPr="00E35C1C">
              <w:rPr>
                <w:rFonts w:ascii="Arial" w:hAnsi="Arial"/>
                <w:b/>
                <w:color w:val="000000"/>
                <w:sz w:val="20"/>
              </w:rPr>
              <w:t>LED Lumens</w:t>
            </w:r>
          </w:p>
        </w:tc>
        <w:tc>
          <w:tcPr>
            <w:tcW w:w="1250" w:type="pct"/>
            <w:shd w:val="clear" w:color="auto" w:fill="D9D9D9"/>
            <w:vAlign w:val="center"/>
          </w:tcPr>
          <w:p w14:paraId="29BE9524" w14:textId="2B8A0EA0" w:rsidR="00D60997" w:rsidRDefault="00D60997" w:rsidP="00D60997">
            <w:pPr>
              <w:jc w:val="center"/>
              <w:rPr>
                <w:rFonts w:ascii="Arial" w:hAnsi="Arial" w:cs="Arial"/>
                <w:b/>
                <w:color w:val="000000"/>
                <w:sz w:val="20"/>
                <w:szCs w:val="20"/>
              </w:rPr>
            </w:pPr>
            <w:r w:rsidRPr="00E35C1C">
              <w:rPr>
                <w:rFonts w:ascii="Arial" w:hAnsi="Arial"/>
                <w:b/>
                <w:color w:val="000000"/>
                <w:sz w:val="20"/>
              </w:rPr>
              <w:t>Rounded lumen bin value</w:t>
            </w:r>
          </w:p>
        </w:tc>
      </w:tr>
      <w:tr w:rsidR="00D60997" w:rsidRPr="005F710F" w14:paraId="58B9EFFC" w14:textId="24296012" w:rsidTr="00D60997">
        <w:trPr>
          <w:trHeight w:val="288"/>
          <w:jc w:val="center"/>
        </w:trPr>
        <w:tc>
          <w:tcPr>
            <w:tcW w:w="1250" w:type="pct"/>
            <w:shd w:val="clear" w:color="auto" w:fill="auto"/>
            <w:noWrap/>
            <w:vAlign w:val="center"/>
          </w:tcPr>
          <w:p w14:paraId="53C874FD" w14:textId="17E439C9" w:rsidR="00D60997" w:rsidRPr="00457464" w:rsidRDefault="00D60997" w:rsidP="00646D0E">
            <w:pPr>
              <w:jc w:val="center"/>
              <w:rPr>
                <w:rFonts w:ascii="Arial" w:hAnsi="Arial" w:cs="Arial"/>
                <w:color w:val="000000"/>
                <w:sz w:val="20"/>
                <w:szCs w:val="20"/>
              </w:rPr>
            </w:pPr>
            <w:r w:rsidRPr="00E35C1C">
              <w:rPr>
                <w:rFonts w:ascii="Arial" w:hAnsi="Arial"/>
                <w:color w:val="000000"/>
                <w:sz w:val="20"/>
              </w:rPr>
              <w:t>44.71%</w:t>
            </w:r>
          </w:p>
        </w:tc>
        <w:tc>
          <w:tcPr>
            <w:tcW w:w="1250" w:type="pct"/>
            <w:shd w:val="clear" w:color="auto" w:fill="auto"/>
            <w:noWrap/>
            <w:vAlign w:val="center"/>
          </w:tcPr>
          <w:p w14:paraId="4C3CEDAB" w14:textId="67DA4E56" w:rsidR="00D60997" w:rsidRPr="00457464" w:rsidRDefault="00D60997" w:rsidP="00646D0E">
            <w:pPr>
              <w:jc w:val="center"/>
              <w:rPr>
                <w:rFonts w:ascii="Arial" w:hAnsi="Arial" w:cs="Arial"/>
                <w:color w:val="000000"/>
                <w:sz w:val="20"/>
                <w:szCs w:val="20"/>
              </w:rPr>
            </w:pPr>
            <w:r w:rsidRPr="00E35C1C">
              <w:rPr>
                <w:rFonts w:ascii="Arial" w:hAnsi="Arial"/>
                <w:color w:val="000000"/>
                <w:sz w:val="20"/>
              </w:rPr>
              <w:t>53.6%</w:t>
            </w:r>
          </w:p>
        </w:tc>
        <w:tc>
          <w:tcPr>
            <w:tcW w:w="1250" w:type="pct"/>
            <w:shd w:val="clear" w:color="auto" w:fill="auto"/>
            <w:noWrap/>
            <w:vAlign w:val="center"/>
          </w:tcPr>
          <w:p w14:paraId="58769834" w14:textId="5E56705F" w:rsidR="00D60997" w:rsidRPr="005F710F" w:rsidRDefault="00D60997" w:rsidP="00646D0E">
            <w:pPr>
              <w:jc w:val="center"/>
              <w:rPr>
                <w:rFonts w:ascii="Arial" w:hAnsi="Arial" w:cs="Arial"/>
                <w:color w:val="000000"/>
                <w:sz w:val="20"/>
                <w:szCs w:val="20"/>
              </w:rPr>
            </w:pPr>
            <w:r w:rsidRPr="00E35C1C">
              <w:rPr>
                <w:rFonts w:ascii="Arial" w:hAnsi="Arial"/>
                <w:color w:val="000000"/>
                <w:sz w:val="20"/>
              </w:rPr>
              <w:t>4407.4</w:t>
            </w:r>
          </w:p>
        </w:tc>
        <w:tc>
          <w:tcPr>
            <w:tcW w:w="1250" w:type="pct"/>
            <w:vAlign w:val="center"/>
          </w:tcPr>
          <w:p w14:paraId="62575BAB" w14:textId="12311E85" w:rsidR="00D60997" w:rsidRDefault="00D60997" w:rsidP="00D60997">
            <w:pPr>
              <w:jc w:val="center"/>
              <w:rPr>
                <w:rFonts w:ascii="Arial" w:hAnsi="Arial" w:cs="Arial"/>
                <w:color w:val="000000"/>
                <w:sz w:val="20"/>
                <w:szCs w:val="20"/>
              </w:rPr>
            </w:pPr>
            <w:r w:rsidRPr="00E35C1C">
              <w:rPr>
                <w:rFonts w:ascii="Arial" w:hAnsi="Arial"/>
                <w:color w:val="000000"/>
                <w:sz w:val="20"/>
              </w:rPr>
              <w:t>4500</w:t>
            </w:r>
          </w:p>
        </w:tc>
      </w:tr>
    </w:tbl>
    <w:p w14:paraId="22CC4750" w14:textId="77777777" w:rsidR="002040A8" w:rsidRPr="005F710F" w:rsidRDefault="002040A8" w:rsidP="005F710F">
      <w:pPr>
        <w:rPr>
          <w:rFonts w:ascii="Arial" w:hAnsi="Arial" w:cs="Arial"/>
          <w:b/>
          <w:bCs/>
          <w:sz w:val="20"/>
          <w:szCs w:val="20"/>
        </w:rPr>
      </w:pPr>
    </w:p>
    <w:p w14:paraId="08A6576D" w14:textId="066474DC" w:rsidR="005F710F" w:rsidRPr="005F710F" w:rsidRDefault="005F710F" w:rsidP="005F710F">
      <w:pPr>
        <w:ind w:left="720"/>
        <w:contextualSpacing/>
        <w:rPr>
          <w:rFonts w:ascii="Arial" w:hAnsi="Arial" w:cs="Arial"/>
          <w:sz w:val="20"/>
          <w:szCs w:val="20"/>
        </w:rPr>
      </w:pPr>
      <w:r w:rsidRPr="005D5338">
        <w:rPr>
          <w:rFonts w:ascii="Arial" w:hAnsi="Arial" w:cs="Arial"/>
          <w:position w:val="-30"/>
          <w:sz w:val="20"/>
          <w:szCs w:val="20"/>
          <w:u w:val="single"/>
        </w:rPr>
        <w:t>Note:</w:t>
      </w:r>
      <w:r w:rsidRPr="005D5338">
        <w:rPr>
          <w:rFonts w:ascii="Arial" w:hAnsi="Arial" w:cs="Arial"/>
          <w:position w:val="-30"/>
          <w:sz w:val="20"/>
          <w:szCs w:val="20"/>
        </w:rPr>
        <w:t xml:space="preserve"> For the </w:t>
      </w:r>
      <w:r w:rsidR="00972181">
        <w:rPr>
          <w:rFonts w:ascii="Arial" w:hAnsi="Arial" w:cs="Arial"/>
          <w:position w:val="-30"/>
          <w:sz w:val="20"/>
          <w:szCs w:val="20"/>
        </w:rPr>
        <w:t>lumen</w:t>
      </w:r>
      <w:r w:rsidR="00972181" w:rsidRPr="005D5338">
        <w:rPr>
          <w:rFonts w:ascii="Arial" w:hAnsi="Arial" w:cs="Arial"/>
          <w:position w:val="-30"/>
          <w:sz w:val="20"/>
          <w:szCs w:val="20"/>
        </w:rPr>
        <w:t xml:space="preserve"> </w:t>
      </w:r>
      <w:r w:rsidRPr="005D5338">
        <w:rPr>
          <w:rFonts w:ascii="Arial" w:hAnsi="Arial" w:cs="Arial"/>
          <w:position w:val="-30"/>
          <w:sz w:val="20"/>
          <w:szCs w:val="20"/>
        </w:rPr>
        <w:t>bin calculations, s</w:t>
      </w:r>
      <w:r w:rsidR="004674CA">
        <w:rPr>
          <w:rFonts w:ascii="Arial" w:hAnsi="Arial" w:cs="Arial"/>
          <w:position w:val="-30"/>
          <w:sz w:val="20"/>
          <w:szCs w:val="20"/>
        </w:rPr>
        <w:t>ee the savings calculation spreadsheet</w:t>
      </w:r>
      <w:r w:rsidRPr="005D5338">
        <w:rPr>
          <w:rFonts w:ascii="Arial" w:hAnsi="Arial" w:cs="Arial"/>
          <w:position w:val="-30"/>
          <w:sz w:val="20"/>
          <w:szCs w:val="20"/>
        </w:rPr>
        <w:t xml:space="preserve"> that accompanies this workpaper.</w:t>
      </w:r>
    </w:p>
    <w:p w14:paraId="1AC85853" w14:textId="77777777" w:rsidR="005F710F" w:rsidRPr="005F710F" w:rsidRDefault="005F710F" w:rsidP="001A3026">
      <w:pPr>
        <w:rPr>
          <w:rFonts w:ascii="Arial" w:hAnsi="Arial" w:cs="Arial"/>
          <w:sz w:val="20"/>
          <w:szCs w:val="20"/>
          <w:highlight w:val="yellow"/>
        </w:rPr>
      </w:pPr>
    </w:p>
    <w:p w14:paraId="1A3C2C35" w14:textId="49C76081" w:rsidR="00E97091" w:rsidRPr="002040A8" w:rsidRDefault="00C069A2" w:rsidP="003243E3">
      <w:pPr>
        <w:pStyle w:val="Heading2"/>
      </w:pPr>
      <w:bookmarkStart w:id="139" w:name="_Toc511038046"/>
      <w:bookmarkStart w:id="140" w:name="_Toc2804921"/>
      <w:r w:rsidRPr="002040A8">
        <w:t xml:space="preserve">2.1 </w:t>
      </w:r>
      <w:r w:rsidR="007878B9" w:rsidRPr="002040A8">
        <w:t xml:space="preserve">Electric </w:t>
      </w:r>
      <w:r w:rsidRPr="002040A8">
        <w:t>Energy Savings Estimation Methodologies</w:t>
      </w:r>
      <w:bookmarkEnd w:id="139"/>
      <w:bookmarkEnd w:id="140"/>
      <w:r w:rsidR="007C1DEB" w:rsidRPr="002040A8">
        <w:t xml:space="preserve"> </w:t>
      </w:r>
    </w:p>
    <w:p w14:paraId="05F344F6" w14:textId="6085D83A" w:rsidR="00B32438" w:rsidRPr="002040A8" w:rsidRDefault="00A508FD" w:rsidP="00B114EC">
      <w:pPr>
        <w:rPr>
          <w:rFonts w:ascii="Arial" w:hAnsi="Arial"/>
          <w:sz w:val="20"/>
        </w:rPr>
      </w:pPr>
      <w:r w:rsidRPr="002040A8">
        <w:rPr>
          <w:rFonts w:ascii="Arial" w:hAnsi="Arial"/>
          <w:sz w:val="20"/>
        </w:rPr>
        <w:t>The electric demand difference is the delta watts (</w:t>
      </w:r>
      <w:r w:rsidRPr="002040A8">
        <w:rPr>
          <w:rFonts w:ascii="Arial" w:hAnsi="Arial"/>
          <w:b/>
          <w:sz w:val="20"/>
        </w:rPr>
        <w:t>∆</w:t>
      </w:r>
      <w:r w:rsidRPr="002040A8">
        <w:rPr>
          <w:rFonts w:ascii="Arial" w:hAnsi="Arial"/>
          <w:sz w:val="20"/>
        </w:rPr>
        <w:t>Watts/fixture) between the electric demand of the base case fixture and the electric demand of the measure case fixture</w:t>
      </w:r>
      <w:r w:rsidR="00181303" w:rsidRPr="002040A8">
        <w:rPr>
          <w:rFonts w:ascii="Arial" w:hAnsi="Arial"/>
          <w:sz w:val="20"/>
        </w:rPr>
        <w:t xml:space="preserve"> (average wattage of the measure wattage range)</w:t>
      </w:r>
      <w:r w:rsidRPr="002040A8">
        <w:rPr>
          <w:rFonts w:ascii="Arial" w:hAnsi="Arial"/>
          <w:sz w:val="20"/>
        </w:rPr>
        <w:t xml:space="preserve">. Annual energy savings is obtained by taking the delta watts and multiplying by the annual hours of operation. Annual </w:t>
      </w:r>
      <w:r w:rsidR="003243E3" w:rsidRPr="002040A8">
        <w:rPr>
          <w:rFonts w:ascii="Arial" w:hAnsi="Arial"/>
          <w:sz w:val="20"/>
        </w:rPr>
        <w:t xml:space="preserve">Energy savings vary by market sector (building type) because of differences in operating hours and interactive effect multipliers. The annual operating hours and </w:t>
      </w:r>
      <w:r w:rsidR="00DC78BA" w:rsidRPr="002040A8">
        <w:rPr>
          <w:rFonts w:ascii="Arial" w:hAnsi="Arial"/>
          <w:sz w:val="20"/>
        </w:rPr>
        <w:t xml:space="preserve">energy </w:t>
      </w:r>
      <w:r w:rsidR="003243E3" w:rsidRPr="002040A8">
        <w:rPr>
          <w:rFonts w:ascii="Arial" w:hAnsi="Arial"/>
          <w:sz w:val="20"/>
        </w:rPr>
        <w:t>interactive effects for each segment were taken from DEER 2016 data.</w:t>
      </w:r>
    </w:p>
    <w:p w14:paraId="1CF4037B" w14:textId="1022222C" w:rsidR="00B32438" w:rsidRPr="002040A8" w:rsidRDefault="00B114EC" w:rsidP="008F103A">
      <w:pPr>
        <w:ind w:left="720"/>
        <w:rPr>
          <w:rFonts w:ascii="Arial" w:hAnsi="Arial"/>
          <w:sz w:val="20"/>
        </w:rPr>
      </w:pPr>
      <w:r w:rsidRPr="002040A8">
        <w:rPr>
          <w:position w:val="-30"/>
        </w:rPr>
        <w:object w:dxaOrig="6979" w:dyaOrig="720" w14:anchorId="0D54B3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6pt;height:36pt" o:ole="">
            <v:imagedata r:id="rId26" o:title=""/>
          </v:shape>
          <o:OLEObject Type="Embed" ProgID="Equation.3" ShapeID="_x0000_i1025" DrawAspect="Content" ObjectID="_1613417697" r:id="rId27"/>
        </w:object>
      </w:r>
    </w:p>
    <w:p w14:paraId="58363410" w14:textId="7FE43C33" w:rsidR="00B32438" w:rsidRPr="002040A8" w:rsidRDefault="004D6535" w:rsidP="00B32438">
      <w:pPr>
        <w:rPr>
          <w:b/>
          <w:i/>
        </w:rPr>
      </w:pPr>
      <w:r w:rsidRPr="002040A8">
        <w:rPr>
          <w:b/>
          <w:i/>
        </w:rPr>
        <w:t>Annual Energy</w:t>
      </w:r>
      <w:r w:rsidR="00B32438" w:rsidRPr="002040A8">
        <w:rPr>
          <w:b/>
          <w:i/>
        </w:rPr>
        <w:t xml:space="preserve"> Savings:</w:t>
      </w:r>
    </w:p>
    <w:p w14:paraId="3278345D" w14:textId="77777777" w:rsidR="00B32438" w:rsidRPr="002040A8" w:rsidRDefault="00B32438" w:rsidP="00B32438">
      <w:pPr>
        <w:ind w:left="720"/>
        <w:rPr>
          <w:i/>
          <w:sz w:val="20"/>
        </w:rPr>
      </w:pPr>
    </w:p>
    <w:p w14:paraId="487D9280" w14:textId="77777777" w:rsidR="00B32438" w:rsidRPr="002040A8" w:rsidRDefault="00B114EC" w:rsidP="00B32438">
      <w:pPr>
        <w:ind w:left="720"/>
        <w:rPr>
          <w:i/>
          <w:sz w:val="20"/>
        </w:rPr>
      </w:pPr>
      <w:r w:rsidRPr="002040A8">
        <w:rPr>
          <w:position w:val="-30"/>
        </w:rPr>
        <w:object w:dxaOrig="8440" w:dyaOrig="720" w14:anchorId="25B4F880">
          <v:shape id="_x0000_i1026" type="#_x0000_t75" style="width:425.3pt;height:36pt" o:ole="">
            <v:imagedata r:id="rId28" o:title=""/>
          </v:shape>
          <o:OLEObject Type="Embed" ProgID="Equation.3" ShapeID="_x0000_i1026" DrawAspect="Content" ObjectID="_1613417698" r:id="rId29"/>
        </w:object>
      </w:r>
    </w:p>
    <w:p w14:paraId="216B5458" w14:textId="77777777" w:rsidR="00082437" w:rsidRPr="002040A8" w:rsidRDefault="00082437" w:rsidP="00B32438">
      <w:pPr>
        <w:rPr>
          <w:rFonts w:ascii="Arial" w:hAnsi="Arial"/>
          <w:b/>
          <w:sz w:val="20"/>
        </w:rPr>
      </w:pPr>
    </w:p>
    <w:p w14:paraId="146A139E" w14:textId="79AEBF49" w:rsidR="00B32438" w:rsidRPr="002040A8" w:rsidRDefault="00082437" w:rsidP="00B32438">
      <w:r w:rsidRPr="002040A8">
        <w:rPr>
          <w:rFonts w:ascii="Arial" w:hAnsi="Arial"/>
          <w:b/>
          <w:sz w:val="20"/>
        </w:rPr>
        <w:t>Example</w:t>
      </w:r>
      <w:r w:rsidRPr="002040A8">
        <w:rPr>
          <w:rFonts w:ascii="Arial" w:hAnsi="Arial"/>
          <w:sz w:val="20"/>
        </w:rPr>
        <w:t>:</w:t>
      </w:r>
      <w:r w:rsidR="00A24216">
        <w:rPr>
          <w:rFonts w:ascii="Arial" w:hAnsi="Arial"/>
          <w:sz w:val="20"/>
        </w:rPr>
        <w:t xml:space="preserve"> </w:t>
      </w:r>
    </w:p>
    <w:p w14:paraId="447F4314" w14:textId="5DFA8E46" w:rsidR="00B32438" w:rsidRPr="00AC48FA" w:rsidRDefault="00B32438" w:rsidP="00B32438">
      <w:pPr>
        <w:rPr>
          <w:rFonts w:ascii="Arial" w:hAnsi="Arial" w:cs="Arial"/>
          <w:color w:val="000000"/>
          <w:sz w:val="20"/>
          <w:szCs w:val="20"/>
        </w:rPr>
      </w:pPr>
      <w:r w:rsidRPr="002040A8">
        <w:rPr>
          <w:rFonts w:ascii="Arial" w:hAnsi="Arial"/>
          <w:sz w:val="20"/>
        </w:rPr>
        <w:t>The following example calcula</w:t>
      </w:r>
      <w:r w:rsidR="003243E3" w:rsidRPr="002040A8">
        <w:rPr>
          <w:rFonts w:ascii="Arial" w:hAnsi="Arial"/>
          <w:sz w:val="20"/>
        </w:rPr>
        <w:t>tion demonstrates</w:t>
      </w:r>
      <w:r w:rsidRPr="002040A8">
        <w:rPr>
          <w:rFonts w:ascii="Arial" w:hAnsi="Arial"/>
          <w:sz w:val="20"/>
        </w:rPr>
        <w:t xml:space="preserve"> the annual electric energy savings</w:t>
      </w:r>
      <w:r w:rsidR="007F1836" w:rsidRPr="002040A8">
        <w:rPr>
          <w:rFonts w:ascii="Arial" w:hAnsi="Arial"/>
          <w:sz w:val="20"/>
        </w:rPr>
        <w:t xml:space="preserve"> in kWh,</w:t>
      </w:r>
      <w:r w:rsidR="003243E3" w:rsidRPr="002040A8">
        <w:rPr>
          <w:rFonts w:ascii="Arial" w:hAnsi="Arial"/>
          <w:sz w:val="20"/>
        </w:rPr>
        <w:t xml:space="preserve"> for the </w:t>
      </w:r>
      <w:r w:rsidR="00972181">
        <w:rPr>
          <w:rFonts w:ascii="Arial" w:hAnsi="Arial"/>
          <w:sz w:val="20"/>
        </w:rPr>
        <w:t>Manufacturing</w:t>
      </w:r>
      <w:r w:rsidR="00972181" w:rsidRPr="002040A8">
        <w:rPr>
          <w:rFonts w:ascii="Arial" w:hAnsi="Arial"/>
          <w:sz w:val="20"/>
        </w:rPr>
        <w:t xml:space="preserve"> </w:t>
      </w:r>
      <w:r w:rsidR="003243E3" w:rsidRPr="002040A8">
        <w:rPr>
          <w:rFonts w:ascii="Arial" w:hAnsi="Arial"/>
          <w:sz w:val="20"/>
        </w:rPr>
        <w:t>building type</w:t>
      </w:r>
      <w:r w:rsidRPr="002040A8">
        <w:rPr>
          <w:rFonts w:ascii="Arial" w:hAnsi="Arial"/>
          <w:sz w:val="20"/>
        </w:rPr>
        <w:t xml:space="preserve"> for the “</w:t>
      </w:r>
      <w:r w:rsidR="00972181">
        <w:rPr>
          <w:rFonts w:ascii="Arial" w:hAnsi="Arial" w:cs="Arial"/>
          <w:color w:val="000000"/>
          <w:sz w:val="20"/>
          <w:szCs w:val="20"/>
        </w:rPr>
        <w:t xml:space="preserve">LED </w:t>
      </w:r>
      <w:proofErr w:type="spellStart"/>
      <w:r w:rsidR="00972181">
        <w:rPr>
          <w:rFonts w:ascii="Arial" w:hAnsi="Arial" w:cs="Arial"/>
          <w:color w:val="000000"/>
          <w:sz w:val="20"/>
          <w:szCs w:val="20"/>
        </w:rPr>
        <w:t>HighBay</w:t>
      </w:r>
      <w:proofErr w:type="spellEnd"/>
      <w:r w:rsidR="00972181">
        <w:rPr>
          <w:rFonts w:ascii="Arial" w:hAnsi="Arial" w:cs="Arial"/>
          <w:color w:val="000000"/>
          <w:sz w:val="20"/>
          <w:szCs w:val="20"/>
        </w:rPr>
        <w:t xml:space="preserve"> luminaire rated from 5400 to &lt; 6500 lumens and &gt;= 130 LPW</w:t>
      </w:r>
      <w:r w:rsidR="004D6535" w:rsidRPr="002040A8">
        <w:rPr>
          <w:rFonts w:ascii="Arial" w:hAnsi="Arial"/>
          <w:sz w:val="20"/>
        </w:rPr>
        <w:t>”</w:t>
      </w:r>
      <w:r w:rsidRPr="002040A8">
        <w:rPr>
          <w:rFonts w:ascii="Arial" w:hAnsi="Arial"/>
          <w:sz w:val="20"/>
        </w:rPr>
        <w:t xml:space="preserve"> </w:t>
      </w:r>
      <w:r w:rsidR="003243E3" w:rsidRPr="002040A8">
        <w:rPr>
          <w:rFonts w:ascii="Arial" w:hAnsi="Arial"/>
          <w:sz w:val="20"/>
        </w:rPr>
        <w:t>measure:</w:t>
      </w:r>
    </w:p>
    <w:p w14:paraId="613D3652" w14:textId="09FCFA7B" w:rsidR="00B32438" w:rsidRDefault="00B32438" w:rsidP="00B32438">
      <w:pPr>
        <w:rPr>
          <w:rFonts w:ascii="Arial" w:hAnsi="Arial"/>
          <w:sz w:val="20"/>
        </w:rPr>
      </w:pPr>
    </w:p>
    <w:p w14:paraId="4921E792" w14:textId="37ACC198" w:rsidR="00972181" w:rsidRPr="002040A8" w:rsidRDefault="00972181" w:rsidP="00B32438">
      <w:pPr>
        <w:rPr>
          <w:rFonts w:ascii="Arial" w:hAnsi="Arial"/>
          <w:sz w:val="20"/>
        </w:rPr>
      </w:pPr>
      <w:r>
        <w:rPr>
          <w:rFonts w:ascii="Arial" w:hAnsi="Arial"/>
          <w:sz w:val="20"/>
        </w:rPr>
        <w:tab/>
      </w:r>
      <m:oMath>
        <m:r>
          <w:rPr>
            <w:rFonts w:ascii="Cambria Math" w:hAnsi="Cambria Math"/>
            <w:sz w:val="20"/>
          </w:rPr>
          <m:t>Energy Savings</m:t>
        </m:r>
        <m:d>
          <m:dPr>
            <m:begChr m:val="["/>
            <m:endChr m:val="]"/>
            <m:ctrlPr>
              <w:rPr>
                <w:rFonts w:ascii="Cambria Math" w:hAnsi="Cambria Math"/>
                <w:i/>
                <w:sz w:val="20"/>
              </w:rPr>
            </m:ctrlPr>
          </m:dPr>
          <m:e>
            <m:f>
              <m:fPr>
                <m:ctrlPr>
                  <w:rPr>
                    <w:rFonts w:ascii="Cambria Math" w:hAnsi="Cambria Math"/>
                    <w:i/>
                    <w:sz w:val="20"/>
                  </w:rPr>
                </m:ctrlPr>
              </m:fPr>
              <m:num>
                <m:r>
                  <w:rPr>
                    <w:rFonts w:ascii="Cambria Math" w:hAnsi="Cambria Math"/>
                    <w:sz w:val="20"/>
                  </w:rPr>
                  <m:t>kWh</m:t>
                </m:r>
              </m:num>
              <m:den>
                <m:r>
                  <w:rPr>
                    <w:rFonts w:ascii="Cambria Math" w:hAnsi="Cambria Math"/>
                    <w:sz w:val="20"/>
                  </w:rPr>
                  <m:t>year</m:t>
                </m:r>
              </m:den>
            </m:f>
          </m:e>
        </m:d>
        <m:r>
          <w:rPr>
            <w:rFonts w:ascii="Cambria Math" w:hAnsi="Cambria Math"/>
            <w:sz w:val="20"/>
          </w:rPr>
          <m:t>=</m:t>
        </m:r>
        <m:f>
          <m:fPr>
            <m:ctrlPr>
              <w:rPr>
                <w:rFonts w:ascii="Cambria Math" w:hAnsi="Cambria Math"/>
                <w:i/>
                <w:sz w:val="20"/>
              </w:rPr>
            </m:ctrlPr>
          </m:fPr>
          <m:num>
            <m:r>
              <w:rPr>
                <w:rFonts w:ascii="Cambria Math" w:hAnsi="Cambria Math"/>
                <w:sz w:val="20"/>
              </w:rPr>
              <m:t>(59-45 Watts)×(3210 Hours/year)×(1.04)</m:t>
            </m:r>
          </m:num>
          <m:den>
            <m:r>
              <w:rPr>
                <w:rFonts w:ascii="Cambria Math" w:hAnsi="Cambria Math"/>
                <w:sz w:val="20"/>
              </w:rPr>
              <m:t>1,000 Watt hours/kWh</m:t>
            </m:r>
          </m:den>
        </m:f>
        <m:r>
          <w:rPr>
            <w:rFonts w:ascii="Cambria Math" w:hAnsi="Cambria Math"/>
            <w:sz w:val="20"/>
          </w:rPr>
          <m:t>=47 kWh/year</m:t>
        </m:r>
      </m:oMath>
    </w:p>
    <w:p w14:paraId="376307A7" w14:textId="69DB57B0" w:rsidR="00CC6DB2" w:rsidRPr="002040A8" w:rsidRDefault="00CC6DB2" w:rsidP="0017503B">
      <w:pPr>
        <w:ind w:left="720"/>
        <w:rPr>
          <w:rFonts w:ascii="Arial" w:hAnsi="Arial"/>
          <w:sz w:val="20"/>
        </w:rPr>
      </w:pPr>
    </w:p>
    <w:p w14:paraId="1CADB346" w14:textId="77777777" w:rsidR="008F103A" w:rsidRPr="002040A8" w:rsidRDefault="0017503B" w:rsidP="00D62A2D">
      <w:r w:rsidRPr="002040A8">
        <w:t>For the savings of all other measures, see the calculation spreadsheet that accompanies this report.</w:t>
      </w:r>
    </w:p>
    <w:p w14:paraId="4EF0B08C" w14:textId="4EC3405F" w:rsidR="00C069A2" w:rsidRPr="002040A8" w:rsidRDefault="004301AB" w:rsidP="002E0043">
      <w:pPr>
        <w:pStyle w:val="Heading2"/>
        <w:keepNext w:val="0"/>
      </w:pPr>
      <w:bookmarkStart w:id="141" w:name="_Toc511038047"/>
      <w:bookmarkStart w:id="142" w:name="_Toc2804922"/>
      <w:r w:rsidRPr="002040A8">
        <w:t>2.2</w:t>
      </w:r>
      <w:r w:rsidR="0030550A" w:rsidRPr="002040A8">
        <w:t xml:space="preserve"> Demand R</w:t>
      </w:r>
      <w:r w:rsidR="00C069A2" w:rsidRPr="002040A8">
        <w:t>eduction Estimation Methodologies</w:t>
      </w:r>
      <w:bookmarkEnd w:id="141"/>
      <w:bookmarkEnd w:id="142"/>
    </w:p>
    <w:p w14:paraId="4B938FEE" w14:textId="69495111" w:rsidR="0017503B" w:rsidRPr="002040A8" w:rsidRDefault="003243E3" w:rsidP="00EB46D0">
      <w:r w:rsidRPr="002040A8">
        <w:rPr>
          <w:rFonts w:ascii="Arial" w:hAnsi="Arial"/>
          <w:sz w:val="20"/>
        </w:rPr>
        <w:t xml:space="preserve">Demand reduction varies by market sector (building type) due to different HVAC interactive effects and coincident peak demand multipliers for each type of building type. The </w:t>
      </w:r>
      <w:r w:rsidR="00DC78BA" w:rsidRPr="002040A8">
        <w:rPr>
          <w:rFonts w:ascii="Arial" w:hAnsi="Arial"/>
          <w:sz w:val="20"/>
        </w:rPr>
        <w:t xml:space="preserve">demand </w:t>
      </w:r>
      <w:r w:rsidRPr="002040A8">
        <w:rPr>
          <w:rFonts w:ascii="Arial" w:hAnsi="Arial"/>
          <w:sz w:val="20"/>
        </w:rPr>
        <w:t>interactive effects, and coincident diversity factors (CDF) for each segment were taken from DEER 2016 data.</w:t>
      </w:r>
    </w:p>
    <w:p w14:paraId="483ACA44" w14:textId="2987EA67" w:rsidR="003F3DED" w:rsidRPr="002040A8" w:rsidRDefault="003F3DED" w:rsidP="003F3DED">
      <w:pPr>
        <w:ind w:left="720"/>
        <w:rPr>
          <w:rFonts w:ascii="Arial" w:hAnsi="Arial"/>
          <w:sz w:val="20"/>
        </w:rPr>
      </w:pPr>
    </w:p>
    <w:p w14:paraId="6BFBBD3C" w14:textId="3CB7FB54" w:rsidR="00DC78BA" w:rsidRPr="002040A8" w:rsidRDefault="00DC78BA" w:rsidP="00181303">
      <w:pPr>
        <w:rPr>
          <w:b/>
          <w:i/>
        </w:rPr>
      </w:pPr>
      <w:r w:rsidRPr="002040A8">
        <w:rPr>
          <w:b/>
          <w:i/>
        </w:rPr>
        <w:t>Demand Reduction:</w:t>
      </w:r>
    </w:p>
    <w:p w14:paraId="036C5EE7" w14:textId="6855B560" w:rsidR="00DC78BA" w:rsidRPr="002040A8" w:rsidRDefault="00BE7E1F" w:rsidP="002040A8">
      <w:pPr>
        <w:jc w:val="center"/>
        <w:rPr>
          <w:i/>
          <w:sz w:val="20"/>
        </w:rPr>
      </w:pPr>
      <w:r w:rsidRPr="002040A8">
        <w:rPr>
          <w:position w:val="-30"/>
        </w:rPr>
        <w:object w:dxaOrig="8860" w:dyaOrig="680" w14:anchorId="4CAFF437">
          <v:shape id="_x0000_i1027" type="#_x0000_t75" style="width:446.25pt;height:36pt" o:ole="">
            <v:imagedata r:id="rId30" o:title=""/>
          </v:shape>
          <o:OLEObject Type="Embed" ProgID="Equation.3" ShapeID="_x0000_i1027" DrawAspect="Content" ObjectID="_1613417699" r:id="rId31"/>
        </w:object>
      </w:r>
      <w:r w:rsidR="00A24216">
        <w:rPr>
          <w:rFonts w:ascii="Arial" w:hAnsi="Arial"/>
          <w:sz w:val="20"/>
        </w:rPr>
        <w:t xml:space="preserve"> </w:t>
      </w:r>
    </w:p>
    <w:p w14:paraId="6F817D3C" w14:textId="4EE9D732" w:rsidR="00DC78BA" w:rsidRPr="002040A8" w:rsidRDefault="00972181" w:rsidP="00DC78BA">
      <w:pPr>
        <w:rPr>
          <w:rFonts w:ascii="Arial" w:hAnsi="Arial"/>
          <w:sz w:val="20"/>
        </w:rPr>
      </w:pPr>
      <w:r w:rsidRPr="00AC48FA">
        <w:rPr>
          <w:rFonts w:ascii="Arial" w:hAnsi="Arial"/>
          <w:b/>
          <w:sz w:val="20"/>
        </w:rPr>
        <w:t>Example:</w:t>
      </w:r>
      <w:r>
        <w:rPr>
          <w:rFonts w:ascii="Arial" w:hAnsi="Arial"/>
          <w:sz w:val="20"/>
        </w:rPr>
        <w:t xml:space="preserve"> </w:t>
      </w:r>
      <w:r w:rsidR="001E4B42" w:rsidRPr="002040A8">
        <w:rPr>
          <w:rFonts w:ascii="Arial" w:hAnsi="Arial"/>
          <w:sz w:val="20"/>
        </w:rPr>
        <w:t xml:space="preserve">The following example calculation demonstrates the peak demand reduction, kW, for the </w:t>
      </w:r>
      <w:r w:rsidR="00CA0D3D">
        <w:rPr>
          <w:rFonts w:ascii="Arial" w:hAnsi="Arial"/>
          <w:sz w:val="20"/>
        </w:rPr>
        <w:t>Manufacturing</w:t>
      </w:r>
      <w:r w:rsidR="00CA0D3D" w:rsidRPr="002040A8">
        <w:rPr>
          <w:rFonts w:ascii="Arial" w:hAnsi="Arial"/>
          <w:sz w:val="20"/>
        </w:rPr>
        <w:t xml:space="preserve"> </w:t>
      </w:r>
      <w:r w:rsidR="001E4B42" w:rsidRPr="002040A8">
        <w:rPr>
          <w:rFonts w:ascii="Arial" w:hAnsi="Arial"/>
          <w:sz w:val="20"/>
        </w:rPr>
        <w:t>building type, for the</w:t>
      </w:r>
      <w:r w:rsidR="00DC78BA" w:rsidRPr="002040A8">
        <w:rPr>
          <w:rFonts w:ascii="Arial" w:hAnsi="Arial"/>
          <w:sz w:val="20"/>
        </w:rPr>
        <w:t xml:space="preserve"> “</w:t>
      </w:r>
      <w:r>
        <w:rPr>
          <w:rFonts w:ascii="Arial" w:hAnsi="Arial" w:cs="Arial"/>
          <w:color w:val="000000"/>
          <w:sz w:val="20"/>
          <w:szCs w:val="20"/>
        </w:rPr>
        <w:t xml:space="preserve">LED </w:t>
      </w:r>
      <w:proofErr w:type="spellStart"/>
      <w:r>
        <w:rPr>
          <w:rFonts w:ascii="Arial" w:hAnsi="Arial" w:cs="Arial"/>
          <w:color w:val="000000"/>
          <w:sz w:val="20"/>
          <w:szCs w:val="20"/>
        </w:rPr>
        <w:t>HighBay</w:t>
      </w:r>
      <w:proofErr w:type="spellEnd"/>
      <w:r>
        <w:rPr>
          <w:rFonts w:ascii="Arial" w:hAnsi="Arial" w:cs="Arial"/>
          <w:color w:val="000000"/>
          <w:sz w:val="20"/>
          <w:szCs w:val="20"/>
        </w:rPr>
        <w:t xml:space="preserve"> luminaire rated from 5400 to &lt; 6500 lumens and &gt;= 130 LPW</w:t>
      </w:r>
      <w:r w:rsidR="002C3514" w:rsidRPr="002040A8">
        <w:rPr>
          <w:rFonts w:ascii="Arial" w:hAnsi="Arial"/>
          <w:sz w:val="20"/>
        </w:rPr>
        <w:t xml:space="preserve">” </w:t>
      </w:r>
      <w:r w:rsidR="00DC78BA" w:rsidRPr="002040A8">
        <w:rPr>
          <w:rFonts w:ascii="Arial" w:hAnsi="Arial"/>
          <w:sz w:val="20"/>
        </w:rPr>
        <w:t>measure:</w:t>
      </w:r>
    </w:p>
    <w:p w14:paraId="55AE6546" w14:textId="38A4A051" w:rsidR="00DC78BA" w:rsidRDefault="00DC78BA" w:rsidP="00DC78BA">
      <w:pPr>
        <w:rPr>
          <w:rFonts w:ascii="Arial" w:hAnsi="Arial"/>
          <w:sz w:val="20"/>
        </w:rPr>
      </w:pPr>
    </w:p>
    <w:p w14:paraId="48582EAA" w14:textId="665CBAD0" w:rsidR="00972181" w:rsidRPr="002040A8" w:rsidRDefault="00972181" w:rsidP="00972181">
      <w:pPr>
        <w:rPr>
          <w:rFonts w:ascii="Arial" w:hAnsi="Arial"/>
          <w:sz w:val="20"/>
        </w:rPr>
      </w:pPr>
      <w:r>
        <w:rPr>
          <w:rFonts w:ascii="Arial" w:hAnsi="Arial"/>
          <w:sz w:val="20"/>
        </w:rPr>
        <w:tab/>
      </w:r>
      <m:oMath>
        <m:r>
          <w:rPr>
            <w:rFonts w:ascii="Cambria Math" w:hAnsi="Cambria Math"/>
            <w:sz w:val="20"/>
          </w:rPr>
          <m:t>Demand Reduction</m:t>
        </m:r>
        <m:d>
          <m:dPr>
            <m:begChr m:val="["/>
            <m:endChr m:val="]"/>
            <m:ctrlPr>
              <w:rPr>
                <w:rFonts w:ascii="Cambria Math" w:hAnsi="Cambria Math"/>
                <w:i/>
                <w:sz w:val="20"/>
              </w:rPr>
            </m:ctrlPr>
          </m:dPr>
          <m:e>
            <m:r>
              <w:rPr>
                <w:rFonts w:ascii="Cambria Math" w:hAnsi="Cambria Math"/>
                <w:sz w:val="20"/>
              </w:rPr>
              <m:t>kW</m:t>
            </m:r>
          </m:e>
        </m:d>
        <m:r>
          <w:rPr>
            <w:rFonts w:ascii="Cambria Math" w:hAnsi="Cambria Math"/>
            <w:sz w:val="20"/>
          </w:rPr>
          <m:t>=</m:t>
        </m:r>
        <m:f>
          <m:fPr>
            <m:ctrlPr>
              <w:rPr>
                <w:rFonts w:ascii="Cambria Math" w:hAnsi="Cambria Math"/>
                <w:i/>
                <w:sz w:val="20"/>
              </w:rPr>
            </m:ctrlPr>
          </m:fPr>
          <m:num>
            <m:r>
              <w:rPr>
                <w:rFonts w:ascii="Cambria Math" w:hAnsi="Cambria Math"/>
                <w:sz w:val="20"/>
              </w:rPr>
              <m:t>(59-45 Watts)×(1.04)×(0.922)</m:t>
            </m:r>
          </m:num>
          <m:den>
            <m:r>
              <w:rPr>
                <w:rFonts w:ascii="Cambria Math" w:hAnsi="Cambria Math"/>
                <w:sz w:val="20"/>
              </w:rPr>
              <m:t>1,000 Watt hours/kWh</m:t>
            </m:r>
          </m:den>
        </m:f>
        <m:r>
          <w:rPr>
            <w:rFonts w:ascii="Cambria Math" w:hAnsi="Cambria Math"/>
            <w:sz w:val="20"/>
          </w:rPr>
          <m:t>=0.015 kW</m:t>
        </m:r>
      </m:oMath>
    </w:p>
    <w:p w14:paraId="395EA2FB" w14:textId="63ED617F" w:rsidR="00BE7E1F" w:rsidRPr="002040A8" w:rsidRDefault="00BE7E1F" w:rsidP="002040A8">
      <w:pPr>
        <w:jc w:val="center"/>
        <w:rPr>
          <w:rFonts w:ascii="Arial" w:hAnsi="Arial"/>
          <w:sz w:val="20"/>
        </w:rPr>
      </w:pPr>
    </w:p>
    <w:p w14:paraId="1E701FA6" w14:textId="325DA577" w:rsidR="00DC78BA" w:rsidRPr="002040A8" w:rsidRDefault="00DC78BA" w:rsidP="00DC78BA">
      <w:pPr>
        <w:ind w:left="720"/>
        <w:rPr>
          <w:rFonts w:ascii="Arial" w:hAnsi="Arial"/>
          <w:sz w:val="20"/>
        </w:rPr>
      </w:pPr>
    </w:p>
    <w:p w14:paraId="2C54CFAD" w14:textId="58794FBD" w:rsidR="00DC78BA" w:rsidRPr="002040A8" w:rsidRDefault="00DC78BA" w:rsidP="00D62A2D">
      <w:r w:rsidRPr="002040A8">
        <w:t>For the savings of all other measures, see the calculation spreadsheet that accompanies this report.</w:t>
      </w:r>
    </w:p>
    <w:p w14:paraId="7CD852BC" w14:textId="77777777" w:rsidR="007878B9" w:rsidRPr="002040A8" w:rsidRDefault="004301AB" w:rsidP="00BF0332">
      <w:pPr>
        <w:pStyle w:val="Heading2"/>
      </w:pPr>
      <w:bookmarkStart w:id="143" w:name="_Toc511038048"/>
      <w:bookmarkStart w:id="144" w:name="_Toc2804923"/>
      <w:r w:rsidRPr="002040A8">
        <w:t>2.3</w:t>
      </w:r>
      <w:r w:rsidR="00276ED1" w:rsidRPr="002040A8">
        <w:t xml:space="preserve"> </w:t>
      </w:r>
      <w:r w:rsidR="007878B9" w:rsidRPr="002040A8">
        <w:t>Gas Energy Savings Estimation Methodologies</w:t>
      </w:r>
      <w:bookmarkEnd w:id="143"/>
      <w:bookmarkEnd w:id="144"/>
    </w:p>
    <w:p w14:paraId="11EAFE25" w14:textId="186B2523" w:rsidR="004203DD" w:rsidRPr="002040A8" w:rsidRDefault="00840D16" w:rsidP="005F3DA0">
      <w:pPr>
        <w:rPr>
          <w:rFonts w:ascii="Arial" w:hAnsi="Arial"/>
          <w:sz w:val="20"/>
        </w:rPr>
      </w:pPr>
      <w:r w:rsidRPr="002040A8">
        <w:rPr>
          <w:rFonts w:ascii="Arial" w:hAnsi="Arial"/>
          <w:sz w:val="20"/>
        </w:rPr>
        <w:t xml:space="preserve">Gas estimates are entirely based on the estimated increased gas use through calculated interactive effects. This measure includes HVAC interactive effects </w:t>
      </w:r>
      <w:r w:rsidR="00B30D5C" w:rsidRPr="002040A8">
        <w:rPr>
          <w:rFonts w:ascii="Arial" w:hAnsi="Arial"/>
          <w:sz w:val="20"/>
        </w:rPr>
        <w:t>impacts</w:t>
      </w:r>
      <w:r w:rsidRPr="002040A8">
        <w:rPr>
          <w:rFonts w:ascii="Arial" w:hAnsi="Arial"/>
          <w:sz w:val="20"/>
        </w:rPr>
        <w:t xml:space="preserve">. </w:t>
      </w:r>
    </w:p>
    <w:p w14:paraId="20D990AE" w14:textId="77777777" w:rsidR="001E4B42" w:rsidRPr="002040A8" w:rsidRDefault="001E4B42" w:rsidP="005F3DA0">
      <w:pPr>
        <w:rPr>
          <w:rFonts w:ascii="Arial" w:hAnsi="Arial"/>
          <w:i/>
          <w:sz w:val="20"/>
        </w:rPr>
      </w:pPr>
    </w:p>
    <w:p w14:paraId="63E041C6" w14:textId="77777777" w:rsidR="001E4B42" w:rsidRPr="002040A8" w:rsidRDefault="001E4B42" w:rsidP="001E4B42">
      <w:pPr>
        <w:rPr>
          <w:rFonts w:ascii="Arial" w:hAnsi="Arial"/>
          <w:sz w:val="20"/>
        </w:rPr>
      </w:pPr>
      <w:r w:rsidRPr="002040A8">
        <w:rPr>
          <w:rFonts w:ascii="Arial" w:hAnsi="Arial"/>
          <w:b/>
          <w:sz w:val="20"/>
        </w:rPr>
        <w:t>∆Watts/fixture:</w:t>
      </w:r>
      <w:r w:rsidRPr="002040A8" w:rsidDel="00CF3FF0">
        <w:rPr>
          <w:rFonts w:ascii="Arial" w:hAnsi="Arial"/>
          <w:b/>
          <w:sz w:val="20"/>
        </w:rPr>
        <w:t xml:space="preserve"> </w:t>
      </w:r>
      <w:r w:rsidRPr="002040A8">
        <w:rPr>
          <w:rFonts w:ascii="Arial" w:hAnsi="Arial"/>
          <w:sz w:val="20"/>
        </w:rPr>
        <w:t>The demand difference (watts per fixture) is simply the difference between the electric demand of the base case fixture and the electric demand of the measure case fixture.</w:t>
      </w:r>
    </w:p>
    <w:p w14:paraId="2D482F5C" w14:textId="77777777" w:rsidR="001E4B42" w:rsidRPr="002040A8" w:rsidRDefault="001E4B42" w:rsidP="001E4B42">
      <w:pPr>
        <w:rPr>
          <w:rFonts w:ascii="Arial" w:hAnsi="Arial"/>
          <w:sz w:val="20"/>
        </w:rPr>
      </w:pPr>
    </w:p>
    <w:p w14:paraId="454D9B83" w14:textId="77777777" w:rsidR="001E4B42" w:rsidRPr="002040A8" w:rsidRDefault="001E4B42" w:rsidP="001E4B42">
      <w:pPr>
        <w:ind w:left="720"/>
        <w:rPr>
          <w:rFonts w:ascii="Arial" w:hAnsi="Arial"/>
          <w:sz w:val="20"/>
        </w:rPr>
      </w:pPr>
      <w:r w:rsidRPr="002040A8">
        <w:rPr>
          <w:rFonts w:ascii="Arial" w:hAnsi="Arial"/>
          <w:sz w:val="20"/>
        </w:rPr>
        <w:t>∆Watts/fixture = Base Case Watts/fixture - Measure Case Watts/fixture</w:t>
      </w:r>
    </w:p>
    <w:p w14:paraId="4D53C82E" w14:textId="77777777" w:rsidR="001E4B42" w:rsidRPr="002040A8" w:rsidRDefault="001E4B42" w:rsidP="001E4B42"/>
    <w:p w14:paraId="22337384" w14:textId="13F12D8B" w:rsidR="001E4B42" w:rsidRPr="002040A8" w:rsidRDefault="001E4B42" w:rsidP="001E4B42">
      <w:pPr>
        <w:rPr>
          <w:b/>
          <w:i/>
        </w:rPr>
      </w:pPr>
      <w:r w:rsidRPr="002040A8">
        <w:rPr>
          <w:b/>
          <w:i/>
        </w:rPr>
        <w:t>Annual Gas Savings:</w:t>
      </w:r>
    </w:p>
    <w:p w14:paraId="2AE34A86" w14:textId="77777777" w:rsidR="001E4B42" w:rsidRPr="002040A8" w:rsidRDefault="001E4B42" w:rsidP="001E4B42">
      <w:pPr>
        <w:ind w:left="720"/>
        <w:rPr>
          <w:i/>
          <w:sz w:val="20"/>
        </w:rPr>
      </w:pPr>
    </w:p>
    <w:p w14:paraId="6CAEB9AA" w14:textId="77777777" w:rsidR="001E4B42" w:rsidRPr="002040A8" w:rsidRDefault="003D5B4D" w:rsidP="002040A8">
      <w:pPr>
        <w:rPr>
          <w:i/>
          <w:sz w:val="20"/>
        </w:rPr>
      </w:pPr>
      <w:r w:rsidRPr="002040A8">
        <w:rPr>
          <w:position w:val="-30"/>
        </w:rPr>
        <w:object w:dxaOrig="9300" w:dyaOrig="720" w14:anchorId="44E0776E">
          <v:shape id="_x0000_i1028" type="#_x0000_t75" style="width:468pt;height:36pt" o:ole="">
            <v:imagedata r:id="rId32" o:title=""/>
          </v:shape>
          <o:OLEObject Type="Embed" ProgID="Equation.3" ShapeID="_x0000_i1028" DrawAspect="Content" ObjectID="_1613417700" r:id="rId33"/>
        </w:object>
      </w:r>
    </w:p>
    <w:p w14:paraId="06159770" w14:textId="77777777" w:rsidR="001E4B42" w:rsidRPr="002040A8" w:rsidRDefault="001E4B42" w:rsidP="001E4B42">
      <w:pPr>
        <w:rPr>
          <w:rFonts w:ascii="Arial" w:hAnsi="Arial"/>
          <w:b/>
          <w:sz w:val="20"/>
        </w:rPr>
      </w:pPr>
    </w:p>
    <w:p w14:paraId="055F4DBA" w14:textId="4A00AE67" w:rsidR="001E4B42" w:rsidRPr="002040A8" w:rsidRDefault="001E4B42" w:rsidP="001E4B42">
      <w:r w:rsidRPr="002040A8">
        <w:rPr>
          <w:rFonts w:ascii="Arial" w:hAnsi="Arial"/>
          <w:b/>
          <w:sz w:val="20"/>
        </w:rPr>
        <w:t>Example</w:t>
      </w:r>
      <w:r w:rsidRPr="002040A8">
        <w:rPr>
          <w:rFonts w:ascii="Arial" w:hAnsi="Arial"/>
          <w:sz w:val="20"/>
        </w:rPr>
        <w:t>:</w:t>
      </w:r>
    </w:p>
    <w:p w14:paraId="3435883A" w14:textId="39076D65" w:rsidR="001E4B42" w:rsidRPr="002040A8" w:rsidRDefault="001E4B42" w:rsidP="001E4B42">
      <w:pPr>
        <w:rPr>
          <w:rFonts w:ascii="Arial" w:hAnsi="Arial"/>
          <w:sz w:val="20"/>
        </w:rPr>
      </w:pPr>
      <w:r w:rsidRPr="002040A8">
        <w:rPr>
          <w:rFonts w:ascii="Arial" w:hAnsi="Arial"/>
          <w:sz w:val="20"/>
        </w:rPr>
        <w:lastRenderedPageBreak/>
        <w:t xml:space="preserve">The following example calculation demonstrates the annual </w:t>
      </w:r>
      <w:r w:rsidR="007F1836" w:rsidRPr="002040A8">
        <w:rPr>
          <w:rFonts w:ascii="Arial" w:hAnsi="Arial"/>
          <w:sz w:val="20"/>
        </w:rPr>
        <w:t>gas</w:t>
      </w:r>
      <w:r w:rsidRPr="002040A8">
        <w:rPr>
          <w:rFonts w:ascii="Arial" w:hAnsi="Arial"/>
          <w:sz w:val="20"/>
        </w:rPr>
        <w:t xml:space="preserve"> savings</w:t>
      </w:r>
      <w:r w:rsidR="007F1836" w:rsidRPr="002040A8">
        <w:rPr>
          <w:rFonts w:ascii="Arial" w:hAnsi="Arial"/>
          <w:sz w:val="20"/>
        </w:rPr>
        <w:t xml:space="preserve"> in </w:t>
      </w:r>
      <w:proofErr w:type="spellStart"/>
      <w:r w:rsidR="007F1836" w:rsidRPr="002040A8">
        <w:rPr>
          <w:rFonts w:ascii="Arial" w:hAnsi="Arial"/>
          <w:sz w:val="20"/>
        </w:rPr>
        <w:t>therms</w:t>
      </w:r>
      <w:proofErr w:type="spellEnd"/>
      <w:r w:rsidR="007F1836" w:rsidRPr="002040A8">
        <w:rPr>
          <w:rFonts w:ascii="Arial" w:hAnsi="Arial"/>
          <w:sz w:val="20"/>
        </w:rPr>
        <w:t>,</w:t>
      </w:r>
      <w:r w:rsidRPr="002040A8">
        <w:rPr>
          <w:rFonts w:ascii="Arial" w:hAnsi="Arial"/>
          <w:sz w:val="20"/>
        </w:rPr>
        <w:t xml:space="preserve"> for the </w:t>
      </w:r>
      <w:r w:rsidR="00CA0D3D">
        <w:rPr>
          <w:rFonts w:ascii="Arial" w:hAnsi="Arial"/>
          <w:sz w:val="20"/>
        </w:rPr>
        <w:t>Manufacturing</w:t>
      </w:r>
      <w:r w:rsidR="00CA0D3D" w:rsidRPr="002040A8">
        <w:rPr>
          <w:rFonts w:ascii="Arial" w:hAnsi="Arial"/>
          <w:sz w:val="20"/>
        </w:rPr>
        <w:t xml:space="preserve"> </w:t>
      </w:r>
      <w:r w:rsidRPr="002040A8">
        <w:rPr>
          <w:rFonts w:ascii="Arial" w:hAnsi="Arial"/>
          <w:sz w:val="20"/>
        </w:rPr>
        <w:t>building type for the “</w:t>
      </w:r>
      <w:r w:rsidR="00972181">
        <w:rPr>
          <w:rFonts w:ascii="Arial" w:hAnsi="Arial" w:cs="Arial"/>
          <w:color w:val="000000"/>
          <w:sz w:val="20"/>
          <w:szCs w:val="20"/>
        </w:rPr>
        <w:t xml:space="preserve">LED </w:t>
      </w:r>
      <w:proofErr w:type="spellStart"/>
      <w:r w:rsidR="00972181">
        <w:rPr>
          <w:rFonts w:ascii="Arial" w:hAnsi="Arial" w:cs="Arial"/>
          <w:color w:val="000000"/>
          <w:sz w:val="20"/>
          <w:szCs w:val="20"/>
        </w:rPr>
        <w:t>HighBay</w:t>
      </w:r>
      <w:proofErr w:type="spellEnd"/>
      <w:r w:rsidR="00972181">
        <w:rPr>
          <w:rFonts w:ascii="Arial" w:hAnsi="Arial" w:cs="Arial"/>
          <w:color w:val="000000"/>
          <w:sz w:val="20"/>
          <w:szCs w:val="20"/>
        </w:rPr>
        <w:t xml:space="preserve"> luminaire rated from 5400 to &lt; 6500 lumens and &gt;= 130 LPW</w:t>
      </w:r>
      <w:r w:rsidR="002C3514" w:rsidRPr="002040A8">
        <w:rPr>
          <w:rFonts w:ascii="Arial" w:hAnsi="Arial"/>
          <w:sz w:val="20"/>
        </w:rPr>
        <w:t xml:space="preserve">” </w:t>
      </w:r>
      <w:r w:rsidRPr="002040A8">
        <w:rPr>
          <w:rFonts w:ascii="Arial" w:hAnsi="Arial"/>
          <w:sz w:val="20"/>
        </w:rPr>
        <w:t>measure:</w:t>
      </w:r>
    </w:p>
    <w:p w14:paraId="475E816F" w14:textId="77777777" w:rsidR="00CA0D3D" w:rsidRDefault="00CA0D3D" w:rsidP="00CA0D3D">
      <w:pPr>
        <w:rPr>
          <w:rFonts w:ascii="Arial" w:hAnsi="Arial"/>
          <w:sz w:val="20"/>
        </w:rPr>
      </w:pPr>
    </w:p>
    <w:p w14:paraId="389206BD" w14:textId="13FCC9F5" w:rsidR="00CA0D3D" w:rsidRPr="002040A8" w:rsidRDefault="00CA0D3D" w:rsidP="00CA0D3D">
      <w:pPr>
        <w:rPr>
          <w:rFonts w:ascii="Arial" w:hAnsi="Arial"/>
          <w:sz w:val="20"/>
        </w:rPr>
      </w:pPr>
      <w:r>
        <w:rPr>
          <w:rFonts w:ascii="Arial" w:hAnsi="Arial"/>
          <w:sz w:val="20"/>
        </w:rPr>
        <w:tab/>
      </w:r>
      <m:oMath>
        <m:r>
          <w:rPr>
            <w:rFonts w:ascii="Cambria Math" w:hAnsi="Cambria Math"/>
            <w:sz w:val="20"/>
          </w:rPr>
          <m:t>Energy Savings</m:t>
        </m:r>
        <m:d>
          <m:dPr>
            <m:begChr m:val="["/>
            <m:endChr m:val="]"/>
            <m:ctrlPr>
              <w:rPr>
                <w:rFonts w:ascii="Cambria Math" w:hAnsi="Cambria Math"/>
                <w:i/>
                <w:sz w:val="20"/>
              </w:rPr>
            </m:ctrlPr>
          </m:dPr>
          <m:e>
            <m:f>
              <m:fPr>
                <m:ctrlPr>
                  <w:rPr>
                    <w:rFonts w:ascii="Cambria Math" w:hAnsi="Cambria Math"/>
                    <w:i/>
                    <w:sz w:val="20"/>
                  </w:rPr>
                </m:ctrlPr>
              </m:fPr>
              <m:num>
                <m:r>
                  <w:rPr>
                    <w:rFonts w:ascii="Cambria Math" w:hAnsi="Cambria Math"/>
                    <w:sz w:val="20"/>
                  </w:rPr>
                  <m:t>Therms</m:t>
                </m:r>
              </m:num>
              <m:den>
                <m:r>
                  <w:rPr>
                    <w:rFonts w:ascii="Cambria Math" w:hAnsi="Cambria Math"/>
                    <w:sz w:val="20"/>
                  </w:rPr>
                  <m:t>year</m:t>
                </m:r>
              </m:den>
            </m:f>
          </m:e>
        </m:d>
        <m:r>
          <w:rPr>
            <w:rFonts w:ascii="Cambria Math" w:hAnsi="Cambria Math"/>
            <w:sz w:val="20"/>
          </w:rPr>
          <m:t>=</m:t>
        </m:r>
        <m:f>
          <m:fPr>
            <m:ctrlPr>
              <w:rPr>
                <w:rFonts w:ascii="Cambria Math" w:hAnsi="Cambria Math"/>
                <w:i/>
                <w:sz w:val="20"/>
              </w:rPr>
            </m:ctrlPr>
          </m:fPr>
          <m:num>
            <m:r>
              <w:rPr>
                <w:rFonts w:ascii="Cambria Math" w:hAnsi="Cambria Math"/>
                <w:sz w:val="20"/>
              </w:rPr>
              <m:t>(59-45 Watts)×(3210 Hours/year)×(-0.0058)</m:t>
            </m:r>
          </m:num>
          <m:den>
            <m:r>
              <w:rPr>
                <w:rFonts w:ascii="Cambria Math" w:hAnsi="Cambria Math"/>
                <w:sz w:val="20"/>
              </w:rPr>
              <m:t>1,000 Watt hours/kWh</m:t>
            </m:r>
          </m:den>
        </m:f>
        <m:r>
          <w:rPr>
            <w:rFonts w:ascii="Cambria Math" w:hAnsi="Cambria Math"/>
            <w:sz w:val="20"/>
          </w:rPr>
          <m:t>=-0.28 Therms/year</m:t>
        </m:r>
      </m:oMath>
    </w:p>
    <w:p w14:paraId="1D3145E0" w14:textId="2B4AC879" w:rsidR="001E4B42" w:rsidRPr="002040A8" w:rsidRDefault="001E4B42" w:rsidP="002040A8">
      <w:pPr>
        <w:rPr>
          <w:rFonts w:ascii="Arial" w:hAnsi="Arial"/>
          <w:sz w:val="20"/>
        </w:rPr>
      </w:pPr>
    </w:p>
    <w:p w14:paraId="06525D7F" w14:textId="77777777" w:rsidR="001E4B42" w:rsidRPr="008E217B" w:rsidRDefault="001E4B42" w:rsidP="00D62A2D">
      <w:pPr>
        <w:rPr>
          <w:rFonts w:ascii="Arial" w:hAnsi="Arial" w:cs="Arial"/>
          <w:sz w:val="20"/>
        </w:rPr>
      </w:pPr>
      <w:r w:rsidRPr="008E217B">
        <w:rPr>
          <w:rFonts w:ascii="Arial" w:hAnsi="Arial" w:cs="Arial"/>
          <w:sz w:val="20"/>
        </w:rPr>
        <w:t>For the savings of all other measures, see the calculation spreadsheet that accompanies this report.</w:t>
      </w:r>
    </w:p>
    <w:p w14:paraId="28D45F65" w14:textId="77777777" w:rsidR="00B7164C" w:rsidRPr="00A2609F" w:rsidRDefault="00C069A2" w:rsidP="00D20486">
      <w:pPr>
        <w:pStyle w:val="Heading1"/>
      </w:pPr>
      <w:bookmarkStart w:id="145" w:name="_Toc511038049"/>
      <w:bookmarkStart w:id="146" w:name="_Toc2804924"/>
      <w:r w:rsidRPr="00A2609F">
        <w:t>Section 3 Load Shapes</w:t>
      </w:r>
      <w:bookmarkEnd w:id="145"/>
      <w:bookmarkEnd w:id="146"/>
      <w:r w:rsidR="00844B27" w:rsidRPr="00A2609F">
        <w:t xml:space="preserve"> </w:t>
      </w:r>
    </w:p>
    <w:p w14:paraId="765C75F0" w14:textId="77777777" w:rsidR="00A06A54" w:rsidRPr="00760D6A" w:rsidRDefault="00A06A54" w:rsidP="00A06A54">
      <w:pPr>
        <w:autoSpaceDE w:val="0"/>
        <w:autoSpaceDN w:val="0"/>
        <w:adjustRightInd w:val="0"/>
        <w:rPr>
          <w:rFonts w:ascii="Arial" w:hAnsi="Arial"/>
          <w:sz w:val="20"/>
        </w:rPr>
      </w:pPr>
      <w:r w:rsidRPr="00760D6A">
        <w:rPr>
          <w:rFonts w:ascii="Arial" w:hAnsi="Arial"/>
          <w:sz w:val="20"/>
        </w:rPr>
        <w:t>Load Shapes are an important part of the life-cycle cost analysis of any energy efficiency program portfolio.</w:t>
      </w:r>
      <w:r w:rsidR="00A97045" w:rsidRPr="00760D6A">
        <w:rPr>
          <w:rFonts w:ascii="Arial" w:hAnsi="Arial"/>
          <w:sz w:val="20"/>
        </w:rPr>
        <w:t xml:space="preserve"> </w:t>
      </w:r>
      <w:r w:rsidRPr="00760D6A">
        <w:rPr>
          <w:rFonts w:ascii="Arial" w:hAnsi="Arial"/>
          <w:sz w:val="20"/>
        </w:rPr>
        <w:t>The net benefits associated with a measure are based on the amount of energy saved and the avoided cost per unit of energy saved.</w:t>
      </w:r>
      <w:r w:rsidR="00A97045" w:rsidRPr="00760D6A">
        <w:rPr>
          <w:rFonts w:ascii="Arial" w:hAnsi="Arial"/>
          <w:sz w:val="20"/>
        </w:rPr>
        <w:t xml:space="preserve"> </w:t>
      </w:r>
      <w:r w:rsidRPr="00760D6A">
        <w:rPr>
          <w:rFonts w:ascii="Arial" w:hAnsi="Arial"/>
          <w:sz w:val="20"/>
        </w:rPr>
        <w:t>For electricity, the avoided cost varies hourly over an entire year.</w:t>
      </w:r>
      <w:r w:rsidR="00A97045" w:rsidRPr="00760D6A">
        <w:rPr>
          <w:rFonts w:ascii="Arial" w:hAnsi="Arial"/>
          <w:sz w:val="20"/>
        </w:rPr>
        <w:t xml:space="preserve"> </w:t>
      </w:r>
      <w:r w:rsidRPr="00760D6A">
        <w:rPr>
          <w:rFonts w:ascii="Arial" w:hAnsi="Arial"/>
          <w:sz w:val="20"/>
        </w:rPr>
        <w:t>Thus, the net benefits calculation for a measure requires both the total annual energy savings (kWh) of the measure and the distribution of that savings over the year.</w:t>
      </w:r>
      <w:r w:rsidR="00A97045" w:rsidRPr="00760D6A">
        <w:rPr>
          <w:rFonts w:ascii="Arial" w:hAnsi="Arial"/>
          <w:sz w:val="20"/>
        </w:rPr>
        <w:t xml:space="preserve"> </w:t>
      </w:r>
      <w:r w:rsidRPr="00760D6A">
        <w:rPr>
          <w:rFonts w:ascii="Arial" w:hAnsi="Arial"/>
          <w:sz w:val="20"/>
        </w:rPr>
        <w:t>The distribution of savings over the year is represented by the measure’s load shape.</w:t>
      </w:r>
      <w:r w:rsidR="00A97045" w:rsidRPr="00760D6A">
        <w:rPr>
          <w:rFonts w:ascii="Arial" w:hAnsi="Arial"/>
          <w:sz w:val="20"/>
        </w:rPr>
        <w:t xml:space="preserve"> </w:t>
      </w:r>
      <w:r w:rsidRPr="00760D6A">
        <w:rPr>
          <w:rFonts w:ascii="Arial" w:hAnsi="Arial"/>
          <w:sz w:val="20"/>
        </w:rPr>
        <w:t>The measure’s load shape indicates what fraction of annual energy savings occurs in each time period of the year.</w:t>
      </w:r>
      <w:r w:rsidR="00A97045" w:rsidRPr="00760D6A">
        <w:rPr>
          <w:rFonts w:ascii="Arial" w:hAnsi="Arial"/>
          <w:sz w:val="20"/>
        </w:rPr>
        <w:t xml:space="preserve"> </w:t>
      </w:r>
      <w:r w:rsidRPr="00760D6A">
        <w:rPr>
          <w:rFonts w:ascii="Arial" w:hAnsi="Arial"/>
          <w:sz w:val="20"/>
        </w:rPr>
        <w:t>An hourly load shape indicates what fraction of annual savings occurs for each hour of the year.</w:t>
      </w:r>
      <w:r w:rsidR="00A97045" w:rsidRPr="00760D6A">
        <w:rPr>
          <w:rFonts w:ascii="Arial" w:hAnsi="Arial"/>
          <w:sz w:val="20"/>
        </w:rPr>
        <w:t xml:space="preserve"> </w:t>
      </w:r>
      <w:r w:rsidRPr="00760D6A">
        <w:rPr>
          <w:rFonts w:ascii="Arial" w:hAnsi="Arial"/>
          <w:sz w:val="20"/>
        </w:rPr>
        <w:t>A Time-of-Use (TOU) load shape indicates what fraction occurs within five or six broad time-of-use periods, typically defined by a specific utility rate tariff.</w:t>
      </w:r>
      <w:r w:rsidR="00A97045" w:rsidRPr="00760D6A">
        <w:rPr>
          <w:rFonts w:ascii="Arial" w:hAnsi="Arial"/>
          <w:sz w:val="20"/>
        </w:rPr>
        <w:t xml:space="preserve"> </w:t>
      </w:r>
      <w:r w:rsidRPr="00760D6A">
        <w:rPr>
          <w:rFonts w:ascii="Arial" w:hAnsi="Arial"/>
          <w:sz w:val="20"/>
        </w:rPr>
        <w:t>Formally, a load shape is a set of fractions summing to unity, one fraction for each hour or for each TOU period.</w:t>
      </w:r>
      <w:r w:rsidR="00A97045" w:rsidRPr="00760D6A">
        <w:rPr>
          <w:rFonts w:ascii="Arial" w:hAnsi="Arial"/>
          <w:sz w:val="20"/>
        </w:rPr>
        <w:t xml:space="preserve"> </w:t>
      </w:r>
      <w:r w:rsidRPr="00760D6A">
        <w:rPr>
          <w:rFonts w:ascii="Arial" w:hAnsi="Arial"/>
          <w:sz w:val="20"/>
        </w:rPr>
        <w:t xml:space="preserve">Multiplying the measure load shape with the hourly avoided cost stream determines the average avoided cost per kWh for use in the life cycle cost analysis that determines a measure’s Total Resource Cost (TRC) benefit. </w:t>
      </w:r>
    </w:p>
    <w:p w14:paraId="542566A2" w14:textId="77777777" w:rsidR="00B7164C" w:rsidRPr="00760D6A" w:rsidRDefault="00BF0332" w:rsidP="00B7164C">
      <w:pPr>
        <w:pStyle w:val="Heading2"/>
        <w:keepNext w:val="0"/>
      </w:pPr>
      <w:bookmarkStart w:id="147" w:name="_Toc173742996"/>
      <w:bookmarkStart w:id="148" w:name="_Toc511038050"/>
      <w:bookmarkStart w:id="149" w:name="_Toc2804925"/>
      <w:r w:rsidRPr="00760D6A">
        <w:t>3.1 Base Case</w:t>
      </w:r>
      <w:r w:rsidR="00B7164C" w:rsidRPr="00760D6A">
        <w:t xml:space="preserve"> Load Shapes</w:t>
      </w:r>
      <w:bookmarkEnd w:id="147"/>
      <w:bookmarkEnd w:id="148"/>
      <w:bookmarkEnd w:id="149"/>
    </w:p>
    <w:p w14:paraId="39DF24CD" w14:textId="77777777" w:rsidR="008840FA" w:rsidRPr="0035476D" w:rsidRDefault="00B66898">
      <w:pPr>
        <w:rPr>
          <w:rFonts w:ascii="Arial" w:hAnsi="Arial"/>
          <w:sz w:val="20"/>
          <w:szCs w:val="20"/>
        </w:rPr>
      </w:pPr>
      <w:bookmarkStart w:id="150" w:name="_Toc173742997"/>
      <w:r w:rsidRPr="007B68E7">
        <w:rPr>
          <w:rFonts w:ascii="Arial" w:hAnsi="Arial"/>
          <w:sz w:val="20"/>
          <w:szCs w:val="20"/>
        </w:rPr>
        <w:t>T</w:t>
      </w:r>
      <w:r w:rsidR="008840FA" w:rsidRPr="007B68E7">
        <w:rPr>
          <w:rFonts w:ascii="Arial" w:hAnsi="Arial"/>
          <w:sz w:val="20"/>
          <w:szCs w:val="20"/>
        </w:rPr>
        <w:t xml:space="preserve">he closest load shape chosen for this measure is the </w:t>
      </w:r>
      <w:r w:rsidR="00501673" w:rsidRPr="007B68E7">
        <w:rPr>
          <w:rFonts w:ascii="Arial" w:hAnsi="Arial"/>
          <w:sz w:val="20"/>
          <w:szCs w:val="20"/>
        </w:rPr>
        <w:t>“</w:t>
      </w:r>
      <w:proofErr w:type="spellStart"/>
      <w:r w:rsidR="00E0684E" w:rsidRPr="0035476D">
        <w:rPr>
          <w:rFonts w:ascii="Arial" w:hAnsi="Arial"/>
          <w:sz w:val="20"/>
          <w:szCs w:val="20"/>
        </w:rPr>
        <w:t>PGE</w:t>
      </w:r>
      <w:proofErr w:type="gramStart"/>
      <w:r w:rsidR="00E0684E" w:rsidRPr="0035476D">
        <w:rPr>
          <w:rFonts w:ascii="Arial" w:hAnsi="Arial"/>
          <w:sz w:val="20"/>
          <w:szCs w:val="20"/>
        </w:rPr>
        <w:t>:</w:t>
      </w:r>
      <w:r w:rsidR="008840FA" w:rsidRPr="0035476D">
        <w:rPr>
          <w:rFonts w:ascii="Arial" w:hAnsi="Arial"/>
          <w:sz w:val="20"/>
          <w:szCs w:val="20"/>
        </w:rPr>
        <w:t>DEER:</w:t>
      </w:r>
      <w:r w:rsidR="00E0684E" w:rsidRPr="0035476D">
        <w:rPr>
          <w:rFonts w:ascii="Arial" w:hAnsi="Arial"/>
          <w:sz w:val="20"/>
          <w:szCs w:val="20"/>
        </w:rPr>
        <w:t>Com:</w:t>
      </w:r>
      <w:r w:rsidR="008840FA" w:rsidRPr="0035476D">
        <w:rPr>
          <w:rFonts w:ascii="Arial" w:hAnsi="Arial"/>
          <w:sz w:val="20"/>
          <w:szCs w:val="20"/>
        </w:rPr>
        <w:t>Indoor</w:t>
      </w:r>
      <w:proofErr w:type="gramEnd"/>
      <w:r w:rsidR="008840FA" w:rsidRPr="0035476D">
        <w:rPr>
          <w:rFonts w:ascii="Arial" w:hAnsi="Arial"/>
          <w:sz w:val="20"/>
          <w:szCs w:val="20"/>
        </w:rPr>
        <w:t>_</w:t>
      </w:r>
      <w:r w:rsidR="0079606B" w:rsidRPr="0035476D">
        <w:rPr>
          <w:rFonts w:ascii="Arial" w:hAnsi="Arial"/>
          <w:sz w:val="20"/>
          <w:szCs w:val="20"/>
        </w:rPr>
        <w:t>Non-</w:t>
      </w:r>
      <w:r w:rsidR="008840FA" w:rsidRPr="0035476D">
        <w:rPr>
          <w:rFonts w:ascii="Arial" w:hAnsi="Arial"/>
          <w:sz w:val="20"/>
          <w:szCs w:val="20"/>
        </w:rPr>
        <w:t>CFL_Ltg</w:t>
      </w:r>
      <w:proofErr w:type="spellEnd"/>
      <w:r w:rsidR="00501673" w:rsidRPr="007B68E7">
        <w:rPr>
          <w:rFonts w:ascii="Arial" w:hAnsi="Arial"/>
          <w:sz w:val="20"/>
          <w:szCs w:val="20"/>
        </w:rPr>
        <w:t>”</w:t>
      </w:r>
      <w:r w:rsidR="008840FA" w:rsidRPr="007B68E7">
        <w:rPr>
          <w:rFonts w:ascii="Arial" w:hAnsi="Arial"/>
          <w:sz w:val="20"/>
          <w:szCs w:val="20"/>
        </w:rPr>
        <w:t xml:space="preserve"> load shape.</w:t>
      </w:r>
      <w:r w:rsidR="00476B67" w:rsidRPr="007B68E7">
        <w:rPr>
          <w:rFonts w:ascii="Arial" w:hAnsi="Arial"/>
          <w:sz w:val="20"/>
          <w:szCs w:val="20"/>
        </w:rPr>
        <w:t xml:space="preserve"> </w:t>
      </w:r>
    </w:p>
    <w:p w14:paraId="40939F0B" w14:textId="77777777" w:rsidR="00B7164C" w:rsidRPr="00760D6A" w:rsidRDefault="00B7164C" w:rsidP="00D20486">
      <w:pPr>
        <w:pStyle w:val="Heading2"/>
        <w:keepNext w:val="0"/>
      </w:pPr>
      <w:bookmarkStart w:id="151" w:name="_Toc511038051"/>
      <w:bookmarkStart w:id="152" w:name="_Toc2804926"/>
      <w:r w:rsidRPr="00760D6A">
        <w:t>3.2 Measure Load Shapes</w:t>
      </w:r>
      <w:bookmarkEnd w:id="150"/>
      <w:bookmarkEnd w:id="151"/>
      <w:bookmarkEnd w:id="152"/>
    </w:p>
    <w:p w14:paraId="7A494947" w14:textId="77777777" w:rsidR="00B66898" w:rsidRPr="00760D6A" w:rsidRDefault="009B6201" w:rsidP="003C6DFA">
      <w:pPr>
        <w:rPr>
          <w:rFonts w:ascii="Arial" w:hAnsi="Arial"/>
          <w:sz w:val="20"/>
        </w:rPr>
      </w:pPr>
      <w:r w:rsidRPr="00760D6A">
        <w:rPr>
          <w:rFonts w:ascii="Arial" w:hAnsi="Arial"/>
          <w:sz w:val="20"/>
        </w:rPr>
        <w:t xml:space="preserve">The </w:t>
      </w:r>
      <w:r w:rsidR="00F47D9D" w:rsidRPr="00760D6A">
        <w:rPr>
          <w:rFonts w:ascii="Arial" w:hAnsi="Arial"/>
          <w:sz w:val="20"/>
        </w:rPr>
        <w:t>measure load shape for this measure is</w:t>
      </w:r>
      <w:r w:rsidR="00AB2D9E" w:rsidRPr="00760D6A">
        <w:rPr>
          <w:rFonts w:ascii="Arial" w:hAnsi="Arial"/>
          <w:sz w:val="20"/>
        </w:rPr>
        <w:t xml:space="preserve"> determined based o</w:t>
      </w:r>
      <w:r w:rsidR="00F47D9D" w:rsidRPr="00760D6A">
        <w:rPr>
          <w:rFonts w:ascii="Arial" w:hAnsi="Arial"/>
          <w:sz w:val="20"/>
        </w:rPr>
        <w:t>n</w:t>
      </w:r>
      <w:r w:rsidR="00AB2D9E" w:rsidRPr="00760D6A">
        <w:rPr>
          <w:rFonts w:ascii="Arial" w:hAnsi="Arial"/>
          <w:sz w:val="20"/>
        </w:rPr>
        <w:t xml:space="preserve"> the applicable </w:t>
      </w:r>
      <w:r w:rsidR="0079606B" w:rsidRPr="00760D6A">
        <w:rPr>
          <w:rFonts w:ascii="Arial" w:hAnsi="Arial"/>
          <w:sz w:val="20"/>
        </w:rPr>
        <w:t xml:space="preserve">non-residential </w:t>
      </w:r>
      <w:r w:rsidR="00AB2D9E" w:rsidRPr="00760D6A">
        <w:rPr>
          <w:rFonts w:ascii="Arial" w:hAnsi="Arial"/>
          <w:sz w:val="20"/>
        </w:rPr>
        <w:t>market sector</w:t>
      </w:r>
      <w:r w:rsidR="00F47D9D" w:rsidRPr="00760D6A">
        <w:rPr>
          <w:rFonts w:ascii="Arial" w:hAnsi="Arial"/>
          <w:sz w:val="20"/>
        </w:rPr>
        <w:t xml:space="preserve"> and the </w:t>
      </w:r>
      <w:r w:rsidR="00A209A2" w:rsidRPr="00760D6A">
        <w:rPr>
          <w:rFonts w:ascii="Arial" w:hAnsi="Arial"/>
          <w:sz w:val="20"/>
        </w:rPr>
        <w:t>lighting</w:t>
      </w:r>
      <w:r w:rsidR="00F47D9D" w:rsidRPr="00760D6A">
        <w:rPr>
          <w:rFonts w:ascii="Arial" w:hAnsi="Arial"/>
          <w:sz w:val="20"/>
        </w:rPr>
        <w:t xml:space="preserve"> end-use.</w:t>
      </w:r>
      <w:r w:rsidR="00476B67" w:rsidRPr="00760D6A">
        <w:rPr>
          <w:rFonts w:ascii="Arial" w:hAnsi="Arial"/>
          <w:sz w:val="20"/>
        </w:rPr>
        <w:t xml:space="preserve"> </w:t>
      </w:r>
    </w:p>
    <w:p w14:paraId="688D124A" w14:textId="77777777" w:rsidR="00DF3395" w:rsidRPr="00760D6A" w:rsidRDefault="00B66898" w:rsidP="003C6DFA">
      <w:pPr>
        <w:rPr>
          <w:rFonts w:ascii="Arial" w:hAnsi="Arial"/>
          <w:sz w:val="20"/>
        </w:rPr>
      </w:pPr>
      <w:r w:rsidRPr="00760D6A">
        <w:rPr>
          <w:rFonts w:ascii="Arial" w:hAnsi="Arial"/>
          <w:sz w:val="20"/>
        </w:rPr>
        <w:t xml:space="preserve"> </w:t>
      </w:r>
    </w:p>
    <w:p w14:paraId="7ACFD520" w14:textId="77777777" w:rsidR="00773056" w:rsidRDefault="00B66898">
      <w:pPr>
        <w:rPr>
          <w:rFonts w:ascii="Arial" w:hAnsi="Arial"/>
          <w:sz w:val="20"/>
          <w:szCs w:val="20"/>
        </w:rPr>
      </w:pPr>
      <w:r w:rsidRPr="007B68E7">
        <w:rPr>
          <w:rFonts w:ascii="Arial" w:hAnsi="Arial"/>
          <w:sz w:val="20"/>
          <w:szCs w:val="20"/>
        </w:rPr>
        <w:t>T</w:t>
      </w:r>
      <w:r w:rsidR="00D87EFF" w:rsidRPr="007B68E7">
        <w:rPr>
          <w:rFonts w:ascii="Arial" w:hAnsi="Arial"/>
          <w:sz w:val="20"/>
          <w:szCs w:val="20"/>
        </w:rPr>
        <w:t xml:space="preserve">he closest load shape chosen for this measure is the </w:t>
      </w:r>
      <w:proofErr w:type="spellStart"/>
      <w:r w:rsidR="00E0684E" w:rsidRPr="0035476D">
        <w:rPr>
          <w:rFonts w:ascii="Arial" w:hAnsi="Arial"/>
          <w:sz w:val="20"/>
          <w:szCs w:val="20"/>
        </w:rPr>
        <w:t>PGE</w:t>
      </w:r>
      <w:proofErr w:type="gramStart"/>
      <w:r w:rsidR="00E0684E" w:rsidRPr="0035476D">
        <w:rPr>
          <w:rFonts w:ascii="Arial" w:hAnsi="Arial"/>
          <w:sz w:val="20"/>
          <w:szCs w:val="20"/>
        </w:rPr>
        <w:t>:DEER:Com:Indoor</w:t>
      </w:r>
      <w:proofErr w:type="gramEnd"/>
      <w:r w:rsidR="00E0684E" w:rsidRPr="0035476D">
        <w:rPr>
          <w:rFonts w:ascii="Arial" w:hAnsi="Arial"/>
          <w:sz w:val="20"/>
          <w:szCs w:val="20"/>
        </w:rPr>
        <w:t>_Non-CFL_Ltg</w:t>
      </w:r>
      <w:proofErr w:type="spellEnd"/>
      <w:r w:rsidR="00D87EFF" w:rsidRPr="007B68E7">
        <w:rPr>
          <w:rFonts w:ascii="Arial" w:hAnsi="Arial"/>
          <w:sz w:val="20"/>
          <w:szCs w:val="20"/>
        </w:rPr>
        <w:t xml:space="preserve"> load shape.</w:t>
      </w:r>
      <w:r w:rsidR="00476B67" w:rsidRPr="007B68E7">
        <w:rPr>
          <w:rFonts w:ascii="Arial" w:hAnsi="Arial"/>
          <w:sz w:val="20"/>
          <w:szCs w:val="20"/>
        </w:rPr>
        <w:t xml:space="preserve"> </w:t>
      </w:r>
      <w:r w:rsidR="00D87EFF" w:rsidRPr="007B68E7">
        <w:rPr>
          <w:rFonts w:ascii="Arial" w:hAnsi="Arial"/>
          <w:sz w:val="20"/>
          <w:szCs w:val="20"/>
        </w:rPr>
        <w:t xml:space="preserve">See the KEMA report [31] for a more </w:t>
      </w:r>
      <w:r w:rsidR="00D87EFF" w:rsidRPr="00F009CD">
        <w:rPr>
          <w:rFonts w:ascii="Arial" w:hAnsi="Arial"/>
          <w:sz w:val="20"/>
          <w:szCs w:val="20"/>
        </w:rPr>
        <w:t xml:space="preserve">thorough discussion regarding the load shapes for this </w:t>
      </w:r>
    </w:p>
    <w:p w14:paraId="07039780" w14:textId="12303200" w:rsidR="00D87EFF" w:rsidRDefault="00D87EFF">
      <w:pPr>
        <w:rPr>
          <w:rFonts w:ascii="Arial" w:hAnsi="Arial"/>
          <w:sz w:val="20"/>
          <w:szCs w:val="20"/>
        </w:rPr>
      </w:pPr>
      <w:proofErr w:type="gramStart"/>
      <w:r w:rsidRPr="00F009CD">
        <w:rPr>
          <w:rFonts w:ascii="Arial" w:hAnsi="Arial"/>
          <w:sz w:val="20"/>
          <w:szCs w:val="20"/>
        </w:rPr>
        <w:t>measure</w:t>
      </w:r>
      <w:proofErr w:type="gramEnd"/>
      <w:r w:rsidRPr="00F009CD">
        <w:rPr>
          <w:rFonts w:ascii="Arial" w:hAnsi="Arial"/>
          <w:sz w:val="20"/>
          <w:szCs w:val="20"/>
        </w:rPr>
        <w:t>.</w:t>
      </w:r>
    </w:p>
    <w:p w14:paraId="5DFAE9C3" w14:textId="77777777" w:rsidR="00773056" w:rsidRPr="0035476D" w:rsidRDefault="00773056">
      <w:pPr>
        <w:rPr>
          <w:rFonts w:ascii="Arial" w:hAnsi="Arial"/>
          <w:sz w:val="20"/>
          <w:szCs w:val="20"/>
        </w:rPr>
      </w:pPr>
    </w:p>
    <w:p w14:paraId="26AD0074" w14:textId="31194115" w:rsidR="004B3C5B" w:rsidRPr="005F797F" w:rsidRDefault="00C069A2" w:rsidP="00773056">
      <w:pPr>
        <w:pStyle w:val="Heading1"/>
        <w:keepLines/>
        <w:spacing w:before="120"/>
      </w:pPr>
      <w:bookmarkStart w:id="153" w:name="_Toc511038052"/>
      <w:bookmarkStart w:id="154" w:name="_Toc2804927"/>
      <w:r w:rsidRPr="005F797F">
        <w:t>Section 4 Base Case &amp; Measure Costs</w:t>
      </w:r>
      <w:bookmarkEnd w:id="153"/>
      <w:bookmarkEnd w:id="154"/>
      <w:r w:rsidR="00A24216">
        <w:t xml:space="preserve"> </w:t>
      </w:r>
    </w:p>
    <w:p w14:paraId="57926AC4" w14:textId="77777777" w:rsidR="00766A37" w:rsidRPr="00EC4B0D" w:rsidRDefault="00766A37" w:rsidP="00766A37">
      <w:pPr>
        <w:rPr>
          <w:rFonts w:ascii="Arial" w:hAnsi="Arial" w:cs="Arial"/>
          <w:sz w:val="20"/>
          <w:szCs w:val="20"/>
        </w:rPr>
      </w:pPr>
      <w:r>
        <w:rPr>
          <w:rFonts w:ascii="Arial" w:hAnsi="Arial" w:cs="Arial"/>
          <w:sz w:val="20"/>
          <w:szCs w:val="20"/>
        </w:rPr>
        <w:t>DEER 2016</w:t>
      </w:r>
      <w:r w:rsidRPr="00EC4B0D">
        <w:rPr>
          <w:rFonts w:ascii="Arial" w:hAnsi="Arial" w:cs="Arial"/>
          <w:sz w:val="20"/>
          <w:szCs w:val="20"/>
        </w:rPr>
        <w:t xml:space="preserve"> does not have measure cost data for LED fixtures.</w:t>
      </w:r>
    </w:p>
    <w:p w14:paraId="78BCCB6B" w14:textId="0FF365B0" w:rsidR="005F797F" w:rsidRDefault="005F797F" w:rsidP="00E0684E">
      <w:pPr>
        <w:rPr>
          <w:rFonts w:ascii="Arial" w:hAnsi="Arial" w:cs="Arial"/>
          <w:sz w:val="20"/>
          <w:szCs w:val="20"/>
        </w:rPr>
      </w:pPr>
      <w:r>
        <w:rPr>
          <w:rFonts w:ascii="Arial" w:hAnsi="Arial" w:cs="Arial"/>
          <w:sz w:val="20"/>
          <w:szCs w:val="20"/>
        </w:rPr>
        <w:t xml:space="preserve">The following data sources </w:t>
      </w:r>
      <w:r w:rsidR="00130C40">
        <w:rPr>
          <w:rFonts w:ascii="Arial" w:hAnsi="Arial" w:cs="Arial"/>
          <w:sz w:val="20"/>
          <w:szCs w:val="20"/>
        </w:rPr>
        <w:t xml:space="preserve">were </w:t>
      </w:r>
      <w:r w:rsidR="005A45C1">
        <w:rPr>
          <w:rFonts w:ascii="Arial" w:hAnsi="Arial" w:cs="Arial"/>
          <w:sz w:val="20"/>
          <w:szCs w:val="20"/>
        </w:rPr>
        <w:t xml:space="preserve">used </w:t>
      </w:r>
      <w:r>
        <w:rPr>
          <w:rFonts w:ascii="Arial" w:hAnsi="Arial" w:cs="Arial"/>
          <w:sz w:val="20"/>
          <w:szCs w:val="20"/>
        </w:rPr>
        <w:t>to develop the base case and measure costs:</w:t>
      </w:r>
    </w:p>
    <w:p w14:paraId="4932D030" w14:textId="77777777" w:rsidR="00CF0447" w:rsidRDefault="00CF0447" w:rsidP="00CF0447">
      <w:pPr>
        <w:pStyle w:val="ListParagraph"/>
        <w:numPr>
          <w:ilvl w:val="0"/>
          <w:numId w:val="30"/>
        </w:numPr>
        <w:rPr>
          <w:rFonts w:ascii="Arial" w:hAnsi="Arial" w:cs="Arial"/>
          <w:sz w:val="20"/>
          <w:szCs w:val="20"/>
        </w:rPr>
      </w:pPr>
      <w:r>
        <w:rPr>
          <w:rFonts w:ascii="Arial" w:hAnsi="Arial" w:cs="Arial"/>
          <w:sz w:val="20"/>
          <w:szCs w:val="20"/>
        </w:rPr>
        <w:t xml:space="preserve">PG&amp;E Program Data </w:t>
      </w:r>
    </w:p>
    <w:p w14:paraId="3D698C84" w14:textId="77777777" w:rsidR="00CF0447" w:rsidRDefault="00CF0447" w:rsidP="00CF0447">
      <w:pPr>
        <w:pStyle w:val="ListParagraph"/>
        <w:numPr>
          <w:ilvl w:val="0"/>
          <w:numId w:val="30"/>
        </w:numPr>
        <w:rPr>
          <w:rFonts w:ascii="Arial" w:hAnsi="Arial" w:cs="Arial"/>
          <w:sz w:val="20"/>
          <w:szCs w:val="20"/>
        </w:rPr>
      </w:pPr>
      <w:r>
        <w:rPr>
          <w:rFonts w:ascii="Arial" w:hAnsi="Arial" w:cs="Arial"/>
          <w:sz w:val="20"/>
          <w:szCs w:val="20"/>
        </w:rPr>
        <w:t>SCE Program Data</w:t>
      </w:r>
    </w:p>
    <w:p w14:paraId="15407DF2" w14:textId="77777777" w:rsidR="00CF0447" w:rsidRPr="00F548E8" w:rsidRDefault="00CF0447" w:rsidP="00CF0447">
      <w:pPr>
        <w:pStyle w:val="ListParagraph"/>
        <w:numPr>
          <w:ilvl w:val="0"/>
          <w:numId w:val="30"/>
        </w:numPr>
        <w:rPr>
          <w:rFonts w:ascii="Arial" w:hAnsi="Arial" w:cs="Arial"/>
          <w:sz w:val="20"/>
          <w:szCs w:val="20"/>
        </w:rPr>
      </w:pPr>
      <w:r>
        <w:rPr>
          <w:rFonts w:ascii="Arial" w:hAnsi="Arial" w:cs="Arial"/>
          <w:sz w:val="20"/>
          <w:szCs w:val="20"/>
        </w:rPr>
        <w:t>TRC Cost Study Data</w:t>
      </w:r>
    </w:p>
    <w:p w14:paraId="662C6628" w14:textId="523F32B1" w:rsidR="00CF0447" w:rsidRDefault="00CF0447" w:rsidP="00CF0447">
      <w:pPr>
        <w:pStyle w:val="ListParagraph"/>
        <w:numPr>
          <w:ilvl w:val="0"/>
          <w:numId w:val="30"/>
        </w:numPr>
        <w:rPr>
          <w:rFonts w:ascii="Arial" w:hAnsi="Arial" w:cs="Arial"/>
          <w:sz w:val="20"/>
          <w:szCs w:val="20"/>
        </w:rPr>
      </w:pPr>
      <w:r w:rsidRPr="00066844">
        <w:rPr>
          <w:rFonts w:ascii="Arial" w:hAnsi="Arial" w:cs="Arial"/>
          <w:sz w:val="20"/>
          <w:szCs w:val="20"/>
        </w:rPr>
        <w:t>Online pricing</w:t>
      </w:r>
      <w:r w:rsidR="00773056">
        <w:rPr>
          <w:rFonts w:ascii="Arial" w:hAnsi="Arial" w:cs="Arial"/>
          <w:sz w:val="20"/>
          <w:szCs w:val="20"/>
        </w:rPr>
        <w:t xml:space="preserve"> (Web-scraping)</w:t>
      </w:r>
    </w:p>
    <w:p w14:paraId="6BF3A322" w14:textId="77777777" w:rsidR="005F797F" w:rsidRPr="005F797F" w:rsidRDefault="005F797F" w:rsidP="00E0684E">
      <w:pPr>
        <w:rPr>
          <w:rFonts w:ascii="Arial" w:hAnsi="Arial" w:cs="Arial"/>
          <w:sz w:val="20"/>
          <w:szCs w:val="20"/>
        </w:rPr>
      </w:pPr>
    </w:p>
    <w:p w14:paraId="65D6CA6C" w14:textId="77777777" w:rsidR="00D17F75" w:rsidRPr="00773056" w:rsidRDefault="00C069A2" w:rsidP="009C1FCB">
      <w:pPr>
        <w:pStyle w:val="Heading2"/>
        <w:spacing w:before="0"/>
        <w:rPr>
          <w:sz w:val="26"/>
          <w:szCs w:val="26"/>
        </w:rPr>
      </w:pPr>
      <w:bookmarkStart w:id="155" w:name="_Toc511038053"/>
      <w:bookmarkStart w:id="156" w:name="_Toc2804928"/>
      <w:r w:rsidRPr="00773056">
        <w:rPr>
          <w:sz w:val="26"/>
          <w:szCs w:val="26"/>
        </w:rPr>
        <w:t>4.1 Base Case Costs</w:t>
      </w:r>
      <w:bookmarkEnd w:id="155"/>
      <w:bookmarkEnd w:id="156"/>
    </w:p>
    <w:p w14:paraId="2EDB9D9E" w14:textId="77777777" w:rsidR="00766A37" w:rsidRDefault="00766A37" w:rsidP="00766A37">
      <w:pPr>
        <w:rPr>
          <w:rFonts w:ascii="Arial" w:hAnsi="Arial" w:cs="Arial"/>
          <w:sz w:val="20"/>
          <w:szCs w:val="20"/>
        </w:rPr>
      </w:pPr>
      <w:r w:rsidRPr="00EC4B0D">
        <w:rPr>
          <w:rFonts w:ascii="Arial" w:hAnsi="Arial" w:cs="Arial"/>
          <w:sz w:val="20"/>
          <w:szCs w:val="20"/>
        </w:rPr>
        <w:t xml:space="preserve">It is assumed the labor cost of replacing </w:t>
      </w:r>
      <w:r>
        <w:rPr>
          <w:rFonts w:ascii="Arial" w:hAnsi="Arial" w:cs="Arial"/>
          <w:sz w:val="20"/>
          <w:szCs w:val="20"/>
        </w:rPr>
        <w:t>the measure case</w:t>
      </w:r>
      <w:r w:rsidRPr="00EC4B0D">
        <w:rPr>
          <w:rFonts w:ascii="Arial" w:hAnsi="Arial" w:cs="Arial"/>
          <w:sz w:val="20"/>
          <w:szCs w:val="20"/>
        </w:rPr>
        <w:t xml:space="preserve"> fixture would be the same</w:t>
      </w:r>
      <w:r>
        <w:rPr>
          <w:rFonts w:ascii="Arial" w:hAnsi="Arial" w:cs="Arial"/>
          <w:sz w:val="20"/>
          <w:szCs w:val="20"/>
        </w:rPr>
        <w:t xml:space="preserve"> as the base case fixture</w:t>
      </w:r>
      <w:r w:rsidRPr="00EC4B0D">
        <w:rPr>
          <w:rFonts w:ascii="Arial" w:hAnsi="Arial" w:cs="Arial"/>
          <w:sz w:val="20"/>
          <w:szCs w:val="20"/>
        </w:rPr>
        <w:t xml:space="preserve">. The base case and measure case costs </w:t>
      </w:r>
      <w:r>
        <w:rPr>
          <w:rFonts w:ascii="Arial" w:hAnsi="Arial" w:cs="Arial"/>
          <w:sz w:val="20"/>
          <w:szCs w:val="20"/>
        </w:rPr>
        <w:t>include just equipment costs</w:t>
      </w:r>
      <w:r w:rsidRPr="00EC4B0D">
        <w:rPr>
          <w:rFonts w:ascii="Arial" w:hAnsi="Arial" w:cs="Arial"/>
          <w:sz w:val="20"/>
          <w:szCs w:val="20"/>
        </w:rPr>
        <w:t xml:space="preserve">.  The base case costs are taken from </w:t>
      </w:r>
      <w:r>
        <w:rPr>
          <w:rFonts w:ascii="Arial" w:hAnsi="Arial" w:cs="Arial"/>
          <w:sz w:val="20"/>
          <w:szCs w:val="20"/>
        </w:rPr>
        <w:t xml:space="preserve">distributor catalogs and websites and confirmed with manufacturer representatives where possible. </w:t>
      </w:r>
    </w:p>
    <w:p w14:paraId="0BD84F8A" w14:textId="77777777" w:rsidR="00E42757" w:rsidRPr="00E51103" w:rsidRDefault="00E42757" w:rsidP="00773056">
      <w:pPr>
        <w:spacing w:line="120" w:lineRule="auto"/>
        <w:rPr>
          <w:rFonts w:ascii="Arial" w:hAnsi="Arial" w:cs="Arial"/>
          <w:b/>
          <w:sz w:val="20"/>
          <w:szCs w:val="20"/>
        </w:rPr>
      </w:pPr>
    </w:p>
    <w:p w14:paraId="7C206F7E" w14:textId="1C00116D" w:rsidR="0049120B" w:rsidRPr="00A7438F" w:rsidRDefault="00130C40" w:rsidP="0049120B">
      <w:pPr>
        <w:rPr>
          <w:rFonts w:ascii="Arial" w:hAnsi="Arial" w:cs="Arial"/>
          <w:sz w:val="20"/>
          <w:szCs w:val="20"/>
        </w:rPr>
      </w:pPr>
      <w:r w:rsidRPr="00E51103">
        <w:rPr>
          <w:rFonts w:ascii="Arial" w:hAnsi="Arial" w:cs="Arial"/>
          <w:b/>
          <w:sz w:val="20"/>
          <w:szCs w:val="20"/>
        </w:rPr>
        <w:lastRenderedPageBreak/>
        <w:t>Linear Fluorescent:</w:t>
      </w:r>
      <w:r w:rsidRPr="00E51103">
        <w:rPr>
          <w:rFonts w:ascii="Arial" w:hAnsi="Arial" w:cs="Arial"/>
          <w:sz w:val="20"/>
          <w:szCs w:val="20"/>
        </w:rPr>
        <w:t xml:space="preserve">  Costs for linear fluorescent came</w:t>
      </w:r>
      <w:r w:rsidR="00EC111A" w:rsidRPr="00A7438F">
        <w:rPr>
          <w:rFonts w:ascii="Arial" w:hAnsi="Arial" w:cs="Arial"/>
          <w:sz w:val="20"/>
          <w:szCs w:val="20"/>
        </w:rPr>
        <w:t xml:space="preserve"> from online fixture vendors, </w:t>
      </w:r>
      <w:r w:rsidR="0049120B" w:rsidRPr="00A7438F">
        <w:rPr>
          <w:rFonts w:ascii="Arial" w:hAnsi="Arial" w:cs="Arial"/>
          <w:sz w:val="20"/>
          <w:szCs w:val="20"/>
        </w:rPr>
        <w:t>and labor costs were calculated using WO017</w:t>
      </w:r>
      <w:r w:rsidR="0049120B" w:rsidRPr="00E51103">
        <w:rPr>
          <w:rStyle w:val="EndnoteReference"/>
          <w:rFonts w:ascii="Arial" w:hAnsi="Arial" w:cs="Arial"/>
          <w:sz w:val="20"/>
          <w:szCs w:val="20"/>
        </w:rPr>
        <w:endnoteReference w:id="20"/>
      </w:r>
      <w:r w:rsidR="00EF067E" w:rsidRPr="00E51103">
        <w:rPr>
          <w:rFonts w:ascii="Arial" w:hAnsi="Arial" w:cs="Arial"/>
          <w:sz w:val="20"/>
          <w:szCs w:val="20"/>
        </w:rPr>
        <w:t xml:space="preserve">. </w:t>
      </w:r>
      <w:r w:rsidR="0049120B" w:rsidRPr="005E52D2">
        <w:rPr>
          <w:rFonts w:ascii="Arial" w:hAnsi="Arial" w:cs="Arial"/>
          <w:sz w:val="20"/>
          <w:szCs w:val="20"/>
        </w:rPr>
        <w:t xml:space="preserve">The labor cost </w:t>
      </w:r>
      <w:r w:rsidRPr="005E52D2">
        <w:rPr>
          <w:rFonts w:ascii="Arial" w:hAnsi="Arial" w:cs="Arial"/>
          <w:sz w:val="20"/>
          <w:szCs w:val="20"/>
        </w:rPr>
        <w:t xml:space="preserve">used </w:t>
      </w:r>
      <w:r w:rsidR="00BC65D5" w:rsidRPr="006E18CA">
        <w:rPr>
          <w:rFonts w:ascii="Arial" w:hAnsi="Arial" w:cs="Arial"/>
          <w:sz w:val="20"/>
          <w:szCs w:val="20"/>
        </w:rPr>
        <w:t>was</w:t>
      </w:r>
      <w:r w:rsidR="0049120B" w:rsidRPr="006E18CA">
        <w:rPr>
          <w:rFonts w:ascii="Arial" w:hAnsi="Arial" w:cs="Arial"/>
          <w:sz w:val="20"/>
          <w:szCs w:val="20"/>
        </w:rPr>
        <w:t xml:space="preserve"> </w:t>
      </w:r>
      <w:r w:rsidR="0049120B" w:rsidRPr="00A7438F">
        <w:rPr>
          <w:rFonts w:ascii="Arial" w:hAnsi="Arial" w:cs="Arial"/>
          <w:sz w:val="20"/>
          <w:szCs w:val="20"/>
        </w:rPr>
        <w:t>$187.14.</w:t>
      </w:r>
    </w:p>
    <w:p w14:paraId="04E24E21" w14:textId="21C03E26" w:rsidR="00130C40" w:rsidRPr="00E51103" w:rsidRDefault="00130C40" w:rsidP="00773056">
      <w:pPr>
        <w:spacing w:line="120" w:lineRule="auto"/>
        <w:rPr>
          <w:rFonts w:ascii="Arial" w:hAnsi="Arial" w:cs="Arial"/>
          <w:sz w:val="20"/>
          <w:szCs w:val="20"/>
        </w:rPr>
      </w:pPr>
    </w:p>
    <w:p w14:paraId="362E956B" w14:textId="4E9867C8" w:rsidR="005A6D7E" w:rsidRDefault="00130C40" w:rsidP="00130C40">
      <w:pPr>
        <w:rPr>
          <w:rFonts w:ascii="Arial" w:hAnsi="Arial" w:cs="Arial"/>
          <w:sz w:val="20"/>
          <w:szCs w:val="20"/>
        </w:rPr>
      </w:pPr>
      <w:r w:rsidRPr="00E51103">
        <w:rPr>
          <w:rFonts w:ascii="Arial" w:hAnsi="Arial" w:cs="Arial"/>
          <w:b/>
          <w:sz w:val="20"/>
          <w:szCs w:val="20"/>
        </w:rPr>
        <w:t>LED:</w:t>
      </w:r>
      <w:r w:rsidRPr="00E51103">
        <w:rPr>
          <w:rFonts w:ascii="Arial" w:hAnsi="Arial" w:cs="Arial"/>
          <w:sz w:val="20"/>
          <w:szCs w:val="20"/>
        </w:rPr>
        <w:t xml:space="preserve">  Costs for base case</w:t>
      </w:r>
      <w:r w:rsidR="00CF0447">
        <w:rPr>
          <w:rFonts w:ascii="Arial" w:hAnsi="Arial" w:cs="Arial"/>
          <w:sz w:val="20"/>
          <w:szCs w:val="20"/>
        </w:rPr>
        <w:t xml:space="preserve"> and measure case</w:t>
      </w:r>
      <w:r w:rsidRPr="00E51103">
        <w:rPr>
          <w:rFonts w:ascii="Arial" w:hAnsi="Arial" w:cs="Arial"/>
          <w:sz w:val="20"/>
          <w:szCs w:val="20"/>
        </w:rPr>
        <w:t xml:space="preserve"> LED came from</w:t>
      </w:r>
      <w:r w:rsidR="00CF0447">
        <w:rPr>
          <w:rFonts w:ascii="Arial" w:hAnsi="Arial" w:cs="Arial"/>
          <w:sz w:val="20"/>
          <w:szCs w:val="20"/>
        </w:rPr>
        <w:t xml:space="preserve"> the average of 4 data sources:</w:t>
      </w:r>
    </w:p>
    <w:p w14:paraId="4CEFA825" w14:textId="77777777" w:rsidR="00CF0447" w:rsidRDefault="00CF0447" w:rsidP="00CF0447">
      <w:pPr>
        <w:pStyle w:val="ListParagraph"/>
        <w:numPr>
          <w:ilvl w:val="0"/>
          <w:numId w:val="31"/>
        </w:numPr>
        <w:rPr>
          <w:rFonts w:ascii="Arial" w:hAnsi="Arial" w:cs="Arial"/>
          <w:sz w:val="20"/>
          <w:szCs w:val="20"/>
        </w:rPr>
      </w:pPr>
      <w:r>
        <w:rPr>
          <w:rFonts w:ascii="Arial" w:hAnsi="Arial" w:cs="Arial"/>
          <w:sz w:val="20"/>
          <w:szCs w:val="20"/>
        </w:rPr>
        <w:t xml:space="preserve">PG&amp;E Program Data </w:t>
      </w:r>
    </w:p>
    <w:p w14:paraId="21126723" w14:textId="77777777" w:rsidR="00CF0447" w:rsidRDefault="00CF0447" w:rsidP="00CF0447">
      <w:pPr>
        <w:pStyle w:val="ListParagraph"/>
        <w:numPr>
          <w:ilvl w:val="0"/>
          <w:numId w:val="31"/>
        </w:numPr>
        <w:rPr>
          <w:rFonts w:ascii="Arial" w:hAnsi="Arial" w:cs="Arial"/>
          <w:sz w:val="20"/>
          <w:szCs w:val="20"/>
        </w:rPr>
      </w:pPr>
      <w:r>
        <w:rPr>
          <w:rFonts w:ascii="Arial" w:hAnsi="Arial" w:cs="Arial"/>
          <w:sz w:val="20"/>
          <w:szCs w:val="20"/>
        </w:rPr>
        <w:t>SCE Program Data</w:t>
      </w:r>
    </w:p>
    <w:p w14:paraId="5A0B7F6E" w14:textId="77777777" w:rsidR="00CF0447" w:rsidRPr="00F548E8" w:rsidRDefault="00CF0447" w:rsidP="00CF0447">
      <w:pPr>
        <w:pStyle w:val="ListParagraph"/>
        <w:numPr>
          <w:ilvl w:val="0"/>
          <w:numId w:val="31"/>
        </w:numPr>
        <w:rPr>
          <w:rFonts w:ascii="Arial" w:hAnsi="Arial" w:cs="Arial"/>
          <w:sz w:val="20"/>
          <w:szCs w:val="20"/>
        </w:rPr>
      </w:pPr>
      <w:r>
        <w:rPr>
          <w:rFonts w:ascii="Arial" w:hAnsi="Arial" w:cs="Arial"/>
          <w:sz w:val="20"/>
          <w:szCs w:val="20"/>
        </w:rPr>
        <w:t>TRC Cost Study Data</w:t>
      </w:r>
    </w:p>
    <w:p w14:paraId="06249760" w14:textId="367741D0" w:rsidR="00CF0447" w:rsidRDefault="00CF0447" w:rsidP="00CF0447">
      <w:pPr>
        <w:pStyle w:val="ListParagraph"/>
        <w:numPr>
          <w:ilvl w:val="0"/>
          <w:numId w:val="31"/>
        </w:numPr>
        <w:rPr>
          <w:rFonts w:ascii="Arial" w:hAnsi="Arial" w:cs="Arial"/>
          <w:sz w:val="20"/>
          <w:szCs w:val="20"/>
        </w:rPr>
      </w:pPr>
      <w:r w:rsidRPr="00066844">
        <w:rPr>
          <w:rFonts w:ascii="Arial" w:hAnsi="Arial" w:cs="Arial"/>
          <w:sz w:val="20"/>
          <w:szCs w:val="20"/>
        </w:rPr>
        <w:t>Online pricing</w:t>
      </w:r>
      <w:r w:rsidR="00773056">
        <w:rPr>
          <w:rFonts w:ascii="Arial" w:hAnsi="Arial" w:cs="Arial"/>
          <w:sz w:val="20"/>
          <w:szCs w:val="20"/>
        </w:rPr>
        <w:t xml:space="preserve"> (Web-scraping)</w:t>
      </w:r>
    </w:p>
    <w:p w14:paraId="5C232FDA" w14:textId="2EBCFF63" w:rsidR="00CF0447" w:rsidRDefault="00CF0447" w:rsidP="00130C40">
      <w:pPr>
        <w:rPr>
          <w:rFonts w:ascii="Arial" w:hAnsi="Arial" w:cs="Arial"/>
          <w:sz w:val="20"/>
          <w:szCs w:val="20"/>
        </w:rPr>
      </w:pPr>
    </w:p>
    <w:p w14:paraId="3A146EBF" w14:textId="77777777" w:rsidR="00D131F0" w:rsidRDefault="00766A37" w:rsidP="00D131F0">
      <w:r>
        <w:rPr>
          <w:rFonts w:ascii="Arial" w:hAnsi="Arial" w:cs="Arial"/>
          <w:b/>
          <w:sz w:val="20"/>
          <w:szCs w:val="20"/>
        </w:rPr>
        <w:t>T</w:t>
      </w:r>
      <w:r w:rsidRPr="00E51103">
        <w:rPr>
          <w:rFonts w:ascii="Arial" w:hAnsi="Arial" w:cs="Arial"/>
          <w:b/>
          <w:sz w:val="20"/>
          <w:szCs w:val="20"/>
        </w:rPr>
        <w:t>LED:</w:t>
      </w:r>
      <w:r w:rsidRPr="00E51103">
        <w:rPr>
          <w:rFonts w:ascii="Arial" w:hAnsi="Arial" w:cs="Arial"/>
          <w:sz w:val="20"/>
          <w:szCs w:val="20"/>
        </w:rPr>
        <w:t xml:space="preserve">  </w:t>
      </w:r>
      <w:r w:rsidRPr="00D131F0">
        <w:rPr>
          <w:rFonts w:ascii="Arial" w:hAnsi="Arial" w:cs="Arial"/>
          <w:sz w:val="20"/>
          <w:szCs w:val="20"/>
        </w:rPr>
        <w:t>Costs for base case TLED came from online pricing</w:t>
      </w:r>
      <w:r w:rsidR="009C1FCB" w:rsidRPr="00D131F0">
        <w:rPr>
          <w:rFonts w:ascii="Arial" w:hAnsi="Arial" w:cs="Arial"/>
          <w:sz w:val="20"/>
          <w:szCs w:val="20"/>
        </w:rPr>
        <w:t xml:space="preserve"> via web-scraping. </w:t>
      </w:r>
      <w:r w:rsidR="00D131F0" w:rsidRPr="00D131F0">
        <w:rPr>
          <w:rFonts w:ascii="Arial" w:hAnsi="Arial" w:cs="Arial"/>
          <w:sz w:val="20"/>
          <w:szCs w:val="20"/>
        </w:rPr>
        <w:t>Because TLEDs vary</w:t>
      </w:r>
      <w:r w:rsidR="00D131F0">
        <w:t xml:space="preserve"> </w:t>
      </w:r>
      <w:r w:rsidR="00D131F0" w:rsidRPr="00D131F0">
        <w:rPr>
          <w:rFonts w:ascii="Arial" w:hAnsi="Arial" w:cs="Arial"/>
          <w:sz w:val="20"/>
          <w:szCs w:val="20"/>
        </w:rPr>
        <w:t>widely in wattage, price, and light output, the prices were normalized by light output at the midpoint of the lumen bin. Based on the February 2019 web-scraped cost data the average TLED price was $9.23 with an average light output of 2,582 lumens, which yields a cost of $0.0036 per lumen. See attached file “Copy of TLED Cost Data_FEB2019.xlsx” for details of the cost data</w:t>
      </w:r>
      <w:r w:rsidR="00D131F0">
        <w:t xml:space="preserve"> and the calculations.</w:t>
      </w:r>
    </w:p>
    <w:p w14:paraId="236C843C" w14:textId="77777777" w:rsidR="00A2609F" w:rsidRPr="00E51103" w:rsidRDefault="00A2609F" w:rsidP="00130C40">
      <w:pPr>
        <w:rPr>
          <w:rFonts w:ascii="Arial" w:hAnsi="Arial" w:cs="Arial"/>
          <w:sz w:val="20"/>
          <w:szCs w:val="20"/>
        </w:rPr>
      </w:pPr>
    </w:p>
    <w:p w14:paraId="036221F3" w14:textId="692D211A" w:rsidR="005910C8" w:rsidRPr="00A2609F" w:rsidRDefault="005910C8" w:rsidP="00A2609F">
      <w:pPr>
        <w:pStyle w:val="Heading2"/>
        <w:keepLines/>
        <w:spacing w:before="120"/>
      </w:pPr>
      <w:bookmarkStart w:id="157" w:name="_Toc511038054"/>
      <w:bookmarkStart w:id="158" w:name="_Toc2804929"/>
      <w:r w:rsidRPr="00A2609F">
        <w:t>4.2 Measure</w:t>
      </w:r>
      <w:r w:rsidR="00F44B64" w:rsidRPr="00A2609F">
        <w:t xml:space="preserve"> Case</w:t>
      </w:r>
      <w:r w:rsidRPr="00A2609F">
        <w:t xml:space="preserve"> Costs</w:t>
      </w:r>
      <w:bookmarkEnd w:id="157"/>
      <w:bookmarkEnd w:id="158"/>
    </w:p>
    <w:p w14:paraId="08213BCF" w14:textId="77777777" w:rsidR="00766A37" w:rsidRDefault="00766A37" w:rsidP="00766A37">
      <w:pPr>
        <w:rPr>
          <w:rFonts w:ascii="Arial" w:hAnsi="Arial" w:cs="Arial"/>
          <w:sz w:val="20"/>
          <w:szCs w:val="20"/>
        </w:rPr>
      </w:pPr>
      <w:r w:rsidRPr="00EC4B0D">
        <w:rPr>
          <w:rFonts w:ascii="Arial" w:hAnsi="Arial" w:cs="Arial"/>
          <w:sz w:val="20"/>
          <w:szCs w:val="20"/>
        </w:rPr>
        <w:t xml:space="preserve">The measure </w:t>
      </w:r>
      <w:r>
        <w:rPr>
          <w:rFonts w:ascii="Arial" w:hAnsi="Arial" w:cs="Arial"/>
          <w:sz w:val="20"/>
          <w:szCs w:val="20"/>
        </w:rPr>
        <w:t xml:space="preserve">equipment costs were developed </w:t>
      </w:r>
      <w:r w:rsidRPr="00EC4B0D">
        <w:rPr>
          <w:rFonts w:ascii="Arial" w:hAnsi="Arial" w:cs="Arial"/>
          <w:sz w:val="20"/>
          <w:szCs w:val="20"/>
        </w:rPr>
        <w:t xml:space="preserve">from </w:t>
      </w:r>
      <w:r>
        <w:rPr>
          <w:rFonts w:ascii="Arial" w:hAnsi="Arial" w:cs="Arial"/>
          <w:sz w:val="20"/>
          <w:szCs w:val="20"/>
        </w:rPr>
        <w:t>California distributor catalogs and websites and confirmed with manufacturer representatives where possible.</w:t>
      </w:r>
      <w:r w:rsidRPr="00EC4B0D">
        <w:rPr>
          <w:rFonts w:ascii="Arial" w:hAnsi="Arial" w:cs="Arial"/>
          <w:sz w:val="20"/>
          <w:szCs w:val="20"/>
        </w:rPr>
        <w:t xml:space="preserve"> </w:t>
      </w:r>
    </w:p>
    <w:p w14:paraId="1D25D0B7" w14:textId="4EC4AFA8" w:rsidR="00766A37" w:rsidRDefault="00CF0447" w:rsidP="00766A37">
      <w:pPr>
        <w:rPr>
          <w:rFonts w:ascii="Arial" w:hAnsi="Arial"/>
          <w:sz w:val="20"/>
        </w:rPr>
      </w:pPr>
      <w:r>
        <w:rPr>
          <w:rFonts w:ascii="Arial" w:hAnsi="Arial" w:cs="Arial"/>
          <w:sz w:val="20"/>
          <w:szCs w:val="20"/>
        </w:rPr>
        <w:t xml:space="preserve">Labor </w:t>
      </w:r>
      <w:r w:rsidRPr="00A7438F">
        <w:rPr>
          <w:rFonts w:ascii="Arial" w:hAnsi="Arial" w:cs="Arial"/>
          <w:sz w:val="20"/>
          <w:szCs w:val="20"/>
        </w:rPr>
        <w:t>costs were calculated using WO017</w:t>
      </w:r>
      <w:r w:rsidRPr="00E51103">
        <w:rPr>
          <w:rStyle w:val="EndnoteReference"/>
          <w:rFonts w:ascii="Arial" w:hAnsi="Arial" w:cs="Arial"/>
          <w:sz w:val="20"/>
          <w:szCs w:val="20"/>
        </w:rPr>
        <w:endnoteReference w:id="21"/>
      </w:r>
      <w:r w:rsidRPr="00E51103">
        <w:rPr>
          <w:rFonts w:ascii="Arial" w:hAnsi="Arial" w:cs="Arial"/>
          <w:sz w:val="20"/>
          <w:szCs w:val="20"/>
        </w:rPr>
        <w:t xml:space="preserve">. </w:t>
      </w:r>
      <w:r w:rsidRPr="005E52D2">
        <w:rPr>
          <w:rFonts w:ascii="Arial" w:hAnsi="Arial" w:cs="Arial"/>
          <w:sz w:val="20"/>
          <w:szCs w:val="20"/>
        </w:rPr>
        <w:t xml:space="preserve">The labor cost used </w:t>
      </w:r>
      <w:r w:rsidRPr="006E18CA">
        <w:rPr>
          <w:rFonts w:ascii="Arial" w:hAnsi="Arial" w:cs="Arial"/>
          <w:sz w:val="20"/>
          <w:szCs w:val="20"/>
        </w:rPr>
        <w:t xml:space="preserve">was </w:t>
      </w:r>
      <w:r w:rsidRPr="00A7438F">
        <w:rPr>
          <w:rFonts w:ascii="Arial" w:hAnsi="Arial" w:cs="Arial"/>
          <w:sz w:val="20"/>
          <w:szCs w:val="20"/>
        </w:rPr>
        <w:t>$187.14.</w:t>
      </w:r>
      <w:r w:rsidR="00766A37" w:rsidRPr="00766A37">
        <w:rPr>
          <w:rFonts w:ascii="Arial" w:hAnsi="Arial"/>
          <w:sz w:val="20"/>
        </w:rPr>
        <w:t xml:space="preserve"> </w:t>
      </w:r>
      <w:r w:rsidR="00766A37" w:rsidRPr="00130C40">
        <w:rPr>
          <w:rFonts w:ascii="Arial" w:hAnsi="Arial"/>
          <w:sz w:val="20"/>
        </w:rPr>
        <w:t xml:space="preserve">The labor cost is </w:t>
      </w:r>
      <w:r w:rsidR="00766A37">
        <w:rPr>
          <w:rFonts w:ascii="Arial" w:hAnsi="Arial" w:cs="Arial"/>
          <w:sz w:val="20"/>
          <w:szCs w:val="20"/>
        </w:rPr>
        <w:t xml:space="preserve">assumed to be </w:t>
      </w:r>
      <w:r w:rsidR="00766A37" w:rsidRPr="00130C40">
        <w:rPr>
          <w:rFonts w:ascii="Arial" w:hAnsi="Arial"/>
          <w:sz w:val="20"/>
        </w:rPr>
        <w:t>the same as the base case labor cost.</w:t>
      </w:r>
    </w:p>
    <w:p w14:paraId="48AB396E" w14:textId="77777777" w:rsidR="00CF0447" w:rsidRPr="00E51103" w:rsidRDefault="00CF0447" w:rsidP="00CF0447">
      <w:pPr>
        <w:rPr>
          <w:rFonts w:ascii="Arial" w:hAnsi="Arial" w:cs="Arial"/>
          <w:sz w:val="20"/>
          <w:szCs w:val="20"/>
        </w:rPr>
      </w:pPr>
    </w:p>
    <w:p w14:paraId="6BC70AA6" w14:textId="77777777" w:rsidR="00CF0447" w:rsidRDefault="00CF0447" w:rsidP="00CF0447">
      <w:pPr>
        <w:rPr>
          <w:rFonts w:ascii="Arial" w:hAnsi="Arial" w:cs="Arial"/>
          <w:sz w:val="20"/>
          <w:szCs w:val="20"/>
        </w:rPr>
      </w:pPr>
      <w:r w:rsidRPr="00E51103">
        <w:rPr>
          <w:rFonts w:ascii="Arial" w:hAnsi="Arial" w:cs="Arial"/>
          <w:b/>
          <w:sz w:val="20"/>
          <w:szCs w:val="20"/>
        </w:rPr>
        <w:t>LED:</w:t>
      </w:r>
      <w:r w:rsidRPr="00E51103">
        <w:rPr>
          <w:rFonts w:ascii="Arial" w:hAnsi="Arial" w:cs="Arial"/>
          <w:sz w:val="20"/>
          <w:szCs w:val="20"/>
        </w:rPr>
        <w:t xml:space="preserve">  Costs for base case</w:t>
      </w:r>
      <w:r>
        <w:rPr>
          <w:rFonts w:ascii="Arial" w:hAnsi="Arial" w:cs="Arial"/>
          <w:sz w:val="20"/>
          <w:szCs w:val="20"/>
        </w:rPr>
        <w:t xml:space="preserve"> and measure case</w:t>
      </w:r>
      <w:r w:rsidRPr="00E51103">
        <w:rPr>
          <w:rFonts w:ascii="Arial" w:hAnsi="Arial" w:cs="Arial"/>
          <w:sz w:val="20"/>
          <w:szCs w:val="20"/>
        </w:rPr>
        <w:t xml:space="preserve"> LED came from</w:t>
      </w:r>
      <w:r>
        <w:rPr>
          <w:rFonts w:ascii="Arial" w:hAnsi="Arial" w:cs="Arial"/>
          <w:sz w:val="20"/>
          <w:szCs w:val="20"/>
        </w:rPr>
        <w:t xml:space="preserve"> the average of 4 data sources:</w:t>
      </w:r>
    </w:p>
    <w:p w14:paraId="4DF06C67" w14:textId="77777777" w:rsidR="00CF0447" w:rsidRDefault="00CF0447" w:rsidP="00CF0447">
      <w:pPr>
        <w:pStyle w:val="ListParagraph"/>
        <w:numPr>
          <w:ilvl w:val="0"/>
          <w:numId w:val="32"/>
        </w:numPr>
        <w:rPr>
          <w:rFonts w:ascii="Arial" w:hAnsi="Arial" w:cs="Arial"/>
          <w:sz w:val="20"/>
          <w:szCs w:val="20"/>
        </w:rPr>
      </w:pPr>
      <w:r>
        <w:rPr>
          <w:rFonts w:ascii="Arial" w:hAnsi="Arial" w:cs="Arial"/>
          <w:sz w:val="20"/>
          <w:szCs w:val="20"/>
        </w:rPr>
        <w:t xml:space="preserve">PG&amp;E Program Data </w:t>
      </w:r>
    </w:p>
    <w:p w14:paraId="1B7B8D0D" w14:textId="77777777" w:rsidR="00CF0447" w:rsidRDefault="00CF0447" w:rsidP="00CF0447">
      <w:pPr>
        <w:pStyle w:val="ListParagraph"/>
        <w:numPr>
          <w:ilvl w:val="0"/>
          <w:numId w:val="32"/>
        </w:numPr>
        <w:rPr>
          <w:rFonts w:ascii="Arial" w:hAnsi="Arial" w:cs="Arial"/>
          <w:sz w:val="20"/>
          <w:szCs w:val="20"/>
        </w:rPr>
      </w:pPr>
      <w:r>
        <w:rPr>
          <w:rFonts w:ascii="Arial" w:hAnsi="Arial" w:cs="Arial"/>
          <w:sz w:val="20"/>
          <w:szCs w:val="20"/>
        </w:rPr>
        <w:t>SCE Program Data</w:t>
      </w:r>
    </w:p>
    <w:p w14:paraId="6DDEF932" w14:textId="77777777" w:rsidR="00CF0447" w:rsidRPr="00F548E8" w:rsidRDefault="00CF0447" w:rsidP="00CF0447">
      <w:pPr>
        <w:pStyle w:val="ListParagraph"/>
        <w:numPr>
          <w:ilvl w:val="0"/>
          <w:numId w:val="32"/>
        </w:numPr>
        <w:rPr>
          <w:rFonts w:ascii="Arial" w:hAnsi="Arial" w:cs="Arial"/>
          <w:sz w:val="20"/>
          <w:szCs w:val="20"/>
        </w:rPr>
      </w:pPr>
      <w:r>
        <w:rPr>
          <w:rFonts w:ascii="Arial" w:hAnsi="Arial" w:cs="Arial"/>
          <w:sz w:val="20"/>
          <w:szCs w:val="20"/>
        </w:rPr>
        <w:t>TRC Cost Study Data</w:t>
      </w:r>
    </w:p>
    <w:p w14:paraId="1E0AEC53" w14:textId="77777777" w:rsidR="00CF0447" w:rsidRDefault="00CF0447" w:rsidP="00CF0447">
      <w:pPr>
        <w:pStyle w:val="ListParagraph"/>
        <w:numPr>
          <w:ilvl w:val="0"/>
          <w:numId w:val="32"/>
        </w:numPr>
        <w:rPr>
          <w:rFonts w:ascii="Arial" w:hAnsi="Arial" w:cs="Arial"/>
          <w:sz w:val="20"/>
          <w:szCs w:val="20"/>
        </w:rPr>
      </w:pPr>
      <w:r w:rsidRPr="00066844">
        <w:rPr>
          <w:rFonts w:ascii="Arial" w:hAnsi="Arial" w:cs="Arial"/>
          <w:sz w:val="20"/>
          <w:szCs w:val="20"/>
        </w:rPr>
        <w:t>Online pricing</w:t>
      </w:r>
    </w:p>
    <w:p w14:paraId="3234A5BE" w14:textId="77777777" w:rsidR="00A2609F" w:rsidRDefault="00A2609F" w:rsidP="00A2609F">
      <w:pPr>
        <w:pStyle w:val="Heading2"/>
        <w:spacing w:before="0" w:after="0"/>
      </w:pPr>
      <w:bookmarkStart w:id="159" w:name="_Toc511038055"/>
    </w:p>
    <w:p w14:paraId="7DB886CD" w14:textId="6EE85823" w:rsidR="0030550A" w:rsidRDefault="00255FFE" w:rsidP="00A2609F">
      <w:pPr>
        <w:pStyle w:val="Heading2"/>
        <w:spacing w:before="120"/>
      </w:pPr>
      <w:bookmarkStart w:id="160" w:name="_Toc2804930"/>
      <w:r>
        <w:t xml:space="preserve">4.3 </w:t>
      </w:r>
      <w:r w:rsidR="0030550A" w:rsidRPr="00130C40">
        <w:t>Incremental &amp; Full Measure Costs</w:t>
      </w:r>
      <w:bookmarkEnd w:id="159"/>
      <w:bookmarkEnd w:id="160"/>
    </w:p>
    <w:p w14:paraId="2B186ADF" w14:textId="49FB46A2" w:rsidR="005E1ACB" w:rsidRPr="00A81C79" w:rsidRDefault="00A57045" w:rsidP="00A57045">
      <w:pPr>
        <w:pStyle w:val="Caption"/>
        <w:jc w:val="center"/>
      </w:pPr>
      <w:bookmarkStart w:id="161" w:name="_Toc511038020"/>
      <w:bookmarkStart w:id="162" w:name="_Toc511244285"/>
      <w:bookmarkStart w:id="163" w:name="_Toc511244310"/>
      <w:bookmarkStart w:id="164" w:name="_Toc2804948"/>
      <w:r w:rsidRPr="006666F0">
        <w:t xml:space="preserve">Table </w:t>
      </w:r>
      <w:fldSimple w:instr=" SEQ Table \* ARABIC ">
        <w:r w:rsidR="004C5579">
          <w:rPr>
            <w:noProof/>
          </w:rPr>
          <w:t>17</w:t>
        </w:r>
      </w:fldSimple>
      <w:r w:rsidR="00CC1031">
        <w:t xml:space="preserve"> </w:t>
      </w:r>
      <w:r w:rsidRPr="006666F0">
        <w:t>Incremental</w:t>
      </w:r>
      <w:r w:rsidRPr="00A81C79">
        <w:t xml:space="preserve"> and Full Measure Cost Equations</w:t>
      </w:r>
      <w:bookmarkEnd w:id="161"/>
      <w:bookmarkEnd w:id="162"/>
      <w:bookmarkEnd w:id="163"/>
      <w:bookmarkEnd w:id="1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2764"/>
        <w:gridCol w:w="2674"/>
        <w:gridCol w:w="2852"/>
      </w:tblGrid>
      <w:tr w:rsidR="009F14ED" w:rsidRPr="009842A2" w14:paraId="7B2B29CD" w14:textId="77777777" w:rsidTr="00E35C1C">
        <w:tc>
          <w:tcPr>
            <w:tcW w:w="671" w:type="pct"/>
            <w:vMerge w:val="restart"/>
            <w:shd w:val="clear" w:color="auto" w:fill="D9D9D9"/>
          </w:tcPr>
          <w:p w14:paraId="62C8C55A" w14:textId="77777777" w:rsidR="0049120B" w:rsidRPr="00E35C1C" w:rsidRDefault="0049120B" w:rsidP="00EC7216">
            <w:pPr>
              <w:rPr>
                <w:rFonts w:ascii="Arial" w:hAnsi="Arial"/>
                <w:b/>
                <w:sz w:val="20"/>
              </w:rPr>
            </w:pPr>
            <w:bookmarkStart w:id="165" w:name="_Toc383697822"/>
            <w:r w:rsidRPr="00E35C1C">
              <w:rPr>
                <w:rFonts w:ascii="Arial" w:hAnsi="Arial"/>
                <w:b/>
                <w:sz w:val="20"/>
              </w:rPr>
              <w:t>Installation Type</w:t>
            </w:r>
          </w:p>
        </w:tc>
        <w:tc>
          <w:tcPr>
            <w:tcW w:w="1443" w:type="pct"/>
            <w:vMerge w:val="restart"/>
            <w:shd w:val="clear" w:color="auto" w:fill="D9D9D9"/>
          </w:tcPr>
          <w:p w14:paraId="4B47ED74" w14:textId="77777777" w:rsidR="0049120B" w:rsidRPr="00E35C1C" w:rsidRDefault="0049120B" w:rsidP="00EC7216">
            <w:pPr>
              <w:rPr>
                <w:rFonts w:ascii="Arial" w:hAnsi="Arial"/>
                <w:b/>
                <w:sz w:val="20"/>
              </w:rPr>
            </w:pPr>
            <w:r w:rsidRPr="00E35C1C">
              <w:rPr>
                <w:rFonts w:ascii="Arial" w:hAnsi="Arial"/>
                <w:b/>
                <w:sz w:val="20"/>
              </w:rPr>
              <w:t>Incremental Measure Cost</w:t>
            </w:r>
          </w:p>
        </w:tc>
        <w:tc>
          <w:tcPr>
            <w:tcW w:w="2885" w:type="pct"/>
            <w:gridSpan w:val="2"/>
            <w:shd w:val="clear" w:color="auto" w:fill="D9D9D9"/>
          </w:tcPr>
          <w:p w14:paraId="216D5A3A" w14:textId="77777777" w:rsidR="0049120B" w:rsidRPr="00E35C1C" w:rsidRDefault="0049120B" w:rsidP="00EC7216">
            <w:pPr>
              <w:rPr>
                <w:rFonts w:ascii="Arial" w:hAnsi="Arial"/>
                <w:b/>
                <w:sz w:val="20"/>
              </w:rPr>
            </w:pPr>
            <w:r w:rsidRPr="00E35C1C">
              <w:rPr>
                <w:rFonts w:ascii="Arial" w:hAnsi="Arial"/>
                <w:b/>
                <w:sz w:val="20"/>
              </w:rPr>
              <w:t>Full Measure Cost</w:t>
            </w:r>
          </w:p>
        </w:tc>
      </w:tr>
      <w:tr w:rsidR="009F14ED" w:rsidRPr="009842A2" w14:paraId="19EC1FC6" w14:textId="77777777" w:rsidTr="00E35C1C">
        <w:tc>
          <w:tcPr>
            <w:tcW w:w="671" w:type="pct"/>
            <w:vMerge/>
            <w:shd w:val="clear" w:color="auto" w:fill="D9D9D9"/>
          </w:tcPr>
          <w:p w14:paraId="41EF894B" w14:textId="77777777" w:rsidR="0049120B" w:rsidRPr="00E35C1C" w:rsidRDefault="0049120B" w:rsidP="00EC7216">
            <w:pPr>
              <w:rPr>
                <w:rFonts w:ascii="Arial" w:hAnsi="Arial"/>
                <w:b/>
                <w:sz w:val="20"/>
              </w:rPr>
            </w:pPr>
          </w:p>
        </w:tc>
        <w:tc>
          <w:tcPr>
            <w:tcW w:w="1443" w:type="pct"/>
            <w:vMerge/>
            <w:shd w:val="clear" w:color="auto" w:fill="D9D9D9"/>
          </w:tcPr>
          <w:p w14:paraId="1D72EAC6" w14:textId="77777777" w:rsidR="0049120B" w:rsidRPr="00E35C1C" w:rsidRDefault="0049120B" w:rsidP="00EC7216">
            <w:pPr>
              <w:rPr>
                <w:rFonts w:ascii="Arial" w:hAnsi="Arial"/>
                <w:b/>
                <w:sz w:val="20"/>
              </w:rPr>
            </w:pPr>
          </w:p>
        </w:tc>
        <w:tc>
          <w:tcPr>
            <w:tcW w:w="1396" w:type="pct"/>
            <w:shd w:val="clear" w:color="auto" w:fill="F2F2F2"/>
          </w:tcPr>
          <w:p w14:paraId="5CA57051" w14:textId="77777777" w:rsidR="0049120B" w:rsidRPr="00E35C1C" w:rsidRDefault="0049120B" w:rsidP="00EC7216">
            <w:pPr>
              <w:rPr>
                <w:rFonts w:ascii="Arial" w:hAnsi="Arial"/>
                <w:b/>
                <w:sz w:val="20"/>
              </w:rPr>
            </w:pPr>
            <w:r w:rsidRPr="00E35C1C">
              <w:rPr>
                <w:rFonts w:ascii="Arial" w:hAnsi="Arial"/>
                <w:b/>
                <w:sz w:val="20"/>
              </w:rPr>
              <w:t>1</w:t>
            </w:r>
            <w:r w:rsidRPr="00E35C1C">
              <w:rPr>
                <w:rFonts w:ascii="Arial" w:hAnsi="Arial"/>
                <w:b/>
                <w:sz w:val="20"/>
                <w:vertAlign w:val="superscript"/>
              </w:rPr>
              <w:t>st</w:t>
            </w:r>
            <w:r w:rsidRPr="00E35C1C">
              <w:rPr>
                <w:rFonts w:ascii="Arial" w:hAnsi="Arial"/>
                <w:b/>
                <w:sz w:val="20"/>
              </w:rPr>
              <w:t xml:space="preserve"> Baseline</w:t>
            </w:r>
          </w:p>
        </w:tc>
        <w:tc>
          <w:tcPr>
            <w:tcW w:w="1489" w:type="pct"/>
            <w:shd w:val="clear" w:color="auto" w:fill="F2F2F2"/>
          </w:tcPr>
          <w:p w14:paraId="51D2AAB7" w14:textId="77777777" w:rsidR="0049120B" w:rsidRPr="00E35C1C" w:rsidRDefault="0049120B" w:rsidP="00EC7216">
            <w:pPr>
              <w:rPr>
                <w:rFonts w:ascii="Arial" w:hAnsi="Arial"/>
                <w:b/>
                <w:sz w:val="20"/>
              </w:rPr>
            </w:pPr>
            <w:r w:rsidRPr="00E35C1C">
              <w:rPr>
                <w:rFonts w:ascii="Arial" w:hAnsi="Arial"/>
                <w:b/>
                <w:sz w:val="20"/>
              </w:rPr>
              <w:t>2</w:t>
            </w:r>
            <w:r w:rsidRPr="00E35C1C">
              <w:rPr>
                <w:rFonts w:ascii="Arial" w:hAnsi="Arial"/>
                <w:b/>
                <w:sz w:val="20"/>
                <w:vertAlign w:val="superscript"/>
              </w:rPr>
              <w:t>nd</w:t>
            </w:r>
            <w:r w:rsidRPr="00E35C1C">
              <w:rPr>
                <w:rFonts w:ascii="Arial" w:hAnsi="Arial"/>
                <w:b/>
                <w:sz w:val="20"/>
              </w:rPr>
              <w:t xml:space="preserve"> Baseline</w:t>
            </w:r>
          </w:p>
        </w:tc>
      </w:tr>
      <w:tr w:rsidR="009F14ED" w:rsidRPr="009842A2" w14:paraId="31BFAEA3" w14:textId="77777777" w:rsidTr="00E35C1C">
        <w:tc>
          <w:tcPr>
            <w:tcW w:w="671" w:type="pct"/>
            <w:shd w:val="clear" w:color="auto" w:fill="auto"/>
          </w:tcPr>
          <w:p w14:paraId="128BBAFC" w14:textId="77777777" w:rsidR="0049120B" w:rsidRPr="00E35C1C" w:rsidRDefault="0049120B" w:rsidP="00EC7216">
            <w:pPr>
              <w:rPr>
                <w:rFonts w:ascii="Arial" w:hAnsi="Arial"/>
                <w:sz w:val="20"/>
              </w:rPr>
            </w:pPr>
            <w:r w:rsidRPr="00E35C1C">
              <w:rPr>
                <w:rFonts w:ascii="Arial" w:hAnsi="Arial"/>
                <w:sz w:val="20"/>
              </w:rPr>
              <w:t>ROB</w:t>
            </w:r>
          </w:p>
        </w:tc>
        <w:tc>
          <w:tcPr>
            <w:tcW w:w="1443" w:type="pct"/>
            <w:vMerge w:val="restart"/>
            <w:shd w:val="clear" w:color="auto" w:fill="auto"/>
          </w:tcPr>
          <w:p w14:paraId="1591170A" w14:textId="77777777" w:rsidR="0049120B" w:rsidRPr="00E35C1C" w:rsidRDefault="0049120B" w:rsidP="00EC7216">
            <w:pPr>
              <w:rPr>
                <w:rFonts w:ascii="Arial" w:hAnsi="Arial"/>
                <w:sz w:val="20"/>
              </w:rPr>
            </w:pPr>
            <w:r w:rsidRPr="00E35C1C">
              <w:rPr>
                <w:rFonts w:ascii="Arial" w:hAnsi="Arial"/>
                <w:sz w:val="20"/>
              </w:rPr>
              <w:t>(MEC + MLC) – (BEC + BLC)</w:t>
            </w:r>
          </w:p>
        </w:tc>
        <w:tc>
          <w:tcPr>
            <w:tcW w:w="1396" w:type="pct"/>
            <w:vMerge w:val="restart"/>
            <w:shd w:val="clear" w:color="auto" w:fill="auto"/>
          </w:tcPr>
          <w:p w14:paraId="7A2D84AA" w14:textId="77777777" w:rsidR="0049120B" w:rsidRPr="00E35C1C" w:rsidRDefault="0049120B" w:rsidP="00EC7216">
            <w:pPr>
              <w:rPr>
                <w:rFonts w:ascii="Arial" w:hAnsi="Arial"/>
                <w:sz w:val="20"/>
              </w:rPr>
            </w:pPr>
            <w:r w:rsidRPr="00E35C1C">
              <w:rPr>
                <w:rFonts w:ascii="Arial" w:hAnsi="Arial"/>
                <w:sz w:val="20"/>
              </w:rPr>
              <w:t>(MEC + MLC) – (BEC + BLC)</w:t>
            </w:r>
          </w:p>
        </w:tc>
        <w:tc>
          <w:tcPr>
            <w:tcW w:w="1489" w:type="pct"/>
            <w:vMerge w:val="restart"/>
            <w:shd w:val="clear" w:color="auto" w:fill="auto"/>
          </w:tcPr>
          <w:p w14:paraId="3F476A24" w14:textId="77777777" w:rsidR="0049120B" w:rsidRPr="00E35C1C" w:rsidRDefault="0049120B" w:rsidP="00EC7216">
            <w:pPr>
              <w:rPr>
                <w:rFonts w:ascii="Arial" w:hAnsi="Arial"/>
                <w:sz w:val="20"/>
              </w:rPr>
            </w:pPr>
            <w:r w:rsidRPr="00E35C1C">
              <w:rPr>
                <w:rFonts w:ascii="Arial" w:hAnsi="Arial"/>
                <w:sz w:val="20"/>
              </w:rPr>
              <w:t>N/A</w:t>
            </w:r>
          </w:p>
        </w:tc>
      </w:tr>
      <w:tr w:rsidR="009F14ED" w:rsidRPr="009842A2" w14:paraId="06D05D78" w14:textId="77777777" w:rsidTr="00E35C1C">
        <w:tc>
          <w:tcPr>
            <w:tcW w:w="671" w:type="pct"/>
            <w:shd w:val="clear" w:color="auto" w:fill="auto"/>
          </w:tcPr>
          <w:p w14:paraId="219B689A" w14:textId="77777777" w:rsidR="0049120B" w:rsidRPr="00E35C1C" w:rsidRDefault="0049120B" w:rsidP="00EC7216">
            <w:pPr>
              <w:rPr>
                <w:rFonts w:ascii="Arial" w:hAnsi="Arial"/>
                <w:sz w:val="20"/>
              </w:rPr>
            </w:pPr>
            <w:r w:rsidRPr="00E35C1C">
              <w:rPr>
                <w:rFonts w:ascii="Arial" w:hAnsi="Arial"/>
                <w:sz w:val="20"/>
              </w:rPr>
              <w:t>NEW/NC</w:t>
            </w:r>
          </w:p>
        </w:tc>
        <w:tc>
          <w:tcPr>
            <w:tcW w:w="1443" w:type="pct"/>
            <w:vMerge/>
            <w:shd w:val="clear" w:color="auto" w:fill="auto"/>
          </w:tcPr>
          <w:p w14:paraId="62089710" w14:textId="77777777" w:rsidR="0049120B" w:rsidRPr="00E35C1C" w:rsidRDefault="0049120B" w:rsidP="00EC7216">
            <w:pPr>
              <w:rPr>
                <w:rFonts w:ascii="Arial" w:hAnsi="Arial"/>
                <w:sz w:val="20"/>
              </w:rPr>
            </w:pPr>
          </w:p>
        </w:tc>
        <w:tc>
          <w:tcPr>
            <w:tcW w:w="1396" w:type="pct"/>
            <w:vMerge/>
            <w:shd w:val="clear" w:color="auto" w:fill="auto"/>
          </w:tcPr>
          <w:p w14:paraId="7E9826B6" w14:textId="77777777" w:rsidR="0049120B" w:rsidRPr="00E35C1C" w:rsidRDefault="0049120B" w:rsidP="00EC7216">
            <w:pPr>
              <w:rPr>
                <w:rFonts w:ascii="Arial" w:hAnsi="Arial"/>
                <w:sz w:val="20"/>
              </w:rPr>
            </w:pPr>
          </w:p>
        </w:tc>
        <w:tc>
          <w:tcPr>
            <w:tcW w:w="1489" w:type="pct"/>
            <w:vMerge/>
            <w:shd w:val="clear" w:color="auto" w:fill="auto"/>
          </w:tcPr>
          <w:p w14:paraId="2E121585" w14:textId="77777777" w:rsidR="0049120B" w:rsidRPr="00E35C1C" w:rsidRDefault="0049120B" w:rsidP="00EC7216">
            <w:pPr>
              <w:rPr>
                <w:rFonts w:ascii="Arial" w:hAnsi="Arial"/>
                <w:sz w:val="20"/>
              </w:rPr>
            </w:pPr>
          </w:p>
        </w:tc>
      </w:tr>
      <w:tr w:rsidR="009F14ED" w:rsidRPr="009842A2" w14:paraId="3FD861EE" w14:textId="77777777" w:rsidTr="00E35C1C">
        <w:tc>
          <w:tcPr>
            <w:tcW w:w="671" w:type="pct"/>
            <w:shd w:val="clear" w:color="auto" w:fill="auto"/>
          </w:tcPr>
          <w:p w14:paraId="029E8962" w14:textId="77777777" w:rsidR="0049120B" w:rsidRPr="00E35C1C" w:rsidRDefault="0049120B" w:rsidP="00EC7216">
            <w:pPr>
              <w:rPr>
                <w:rFonts w:ascii="Arial" w:hAnsi="Arial"/>
                <w:sz w:val="20"/>
              </w:rPr>
            </w:pPr>
            <w:r w:rsidRPr="00E35C1C">
              <w:rPr>
                <w:rFonts w:ascii="Arial" w:hAnsi="Arial"/>
                <w:sz w:val="20"/>
              </w:rPr>
              <w:t>RET/ER</w:t>
            </w:r>
          </w:p>
        </w:tc>
        <w:tc>
          <w:tcPr>
            <w:tcW w:w="1443" w:type="pct"/>
            <w:shd w:val="clear" w:color="auto" w:fill="auto"/>
          </w:tcPr>
          <w:p w14:paraId="17091E57" w14:textId="77777777" w:rsidR="0049120B" w:rsidRPr="00E35C1C" w:rsidRDefault="0049120B" w:rsidP="00EC7216">
            <w:pPr>
              <w:rPr>
                <w:rFonts w:ascii="Arial" w:hAnsi="Arial"/>
                <w:sz w:val="20"/>
              </w:rPr>
            </w:pPr>
            <w:r w:rsidRPr="00E35C1C">
              <w:rPr>
                <w:rFonts w:ascii="Arial" w:hAnsi="Arial"/>
                <w:sz w:val="20"/>
              </w:rPr>
              <w:t>(MEC + MLC) – (BEC + BLC)</w:t>
            </w:r>
          </w:p>
        </w:tc>
        <w:tc>
          <w:tcPr>
            <w:tcW w:w="1396" w:type="pct"/>
            <w:shd w:val="clear" w:color="auto" w:fill="auto"/>
          </w:tcPr>
          <w:p w14:paraId="53DDA9C0" w14:textId="77777777" w:rsidR="0049120B" w:rsidRPr="00E35C1C" w:rsidRDefault="0049120B" w:rsidP="00EC7216">
            <w:pPr>
              <w:rPr>
                <w:rFonts w:ascii="Arial" w:hAnsi="Arial"/>
                <w:sz w:val="20"/>
              </w:rPr>
            </w:pPr>
            <w:r w:rsidRPr="00E35C1C">
              <w:rPr>
                <w:rFonts w:ascii="Arial" w:hAnsi="Arial"/>
                <w:sz w:val="20"/>
              </w:rPr>
              <w:t>MEC + MLC</w:t>
            </w:r>
          </w:p>
        </w:tc>
        <w:tc>
          <w:tcPr>
            <w:tcW w:w="1489" w:type="pct"/>
            <w:shd w:val="clear" w:color="auto" w:fill="auto"/>
          </w:tcPr>
          <w:p w14:paraId="79C619CA" w14:textId="77777777" w:rsidR="0049120B" w:rsidRPr="00E35C1C" w:rsidRDefault="0049120B" w:rsidP="00EC7216">
            <w:pPr>
              <w:rPr>
                <w:rFonts w:ascii="Arial" w:hAnsi="Arial"/>
                <w:sz w:val="20"/>
              </w:rPr>
            </w:pPr>
            <w:r w:rsidRPr="00E35C1C">
              <w:rPr>
                <w:rFonts w:ascii="Arial" w:hAnsi="Arial"/>
                <w:sz w:val="20"/>
              </w:rPr>
              <w:t>(MEC + MLC) – (BEC + BLC)</w:t>
            </w:r>
          </w:p>
        </w:tc>
      </w:tr>
      <w:tr w:rsidR="009F14ED" w:rsidRPr="009842A2" w14:paraId="40EB4E05" w14:textId="77777777" w:rsidTr="00E35C1C">
        <w:tc>
          <w:tcPr>
            <w:tcW w:w="671" w:type="pct"/>
            <w:shd w:val="clear" w:color="auto" w:fill="auto"/>
          </w:tcPr>
          <w:p w14:paraId="6B31B190" w14:textId="77777777" w:rsidR="0049120B" w:rsidRPr="00E35C1C" w:rsidRDefault="0049120B" w:rsidP="00EC7216">
            <w:pPr>
              <w:rPr>
                <w:rFonts w:ascii="Arial" w:hAnsi="Arial"/>
                <w:sz w:val="20"/>
              </w:rPr>
            </w:pPr>
            <w:r w:rsidRPr="00E35C1C">
              <w:rPr>
                <w:rFonts w:ascii="Arial" w:hAnsi="Arial"/>
                <w:sz w:val="20"/>
              </w:rPr>
              <w:t>REF</w:t>
            </w:r>
          </w:p>
        </w:tc>
        <w:tc>
          <w:tcPr>
            <w:tcW w:w="1443" w:type="pct"/>
            <w:shd w:val="clear" w:color="auto" w:fill="auto"/>
          </w:tcPr>
          <w:p w14:paraId="6C75D3CD" w14:textId="77777777" w:rsidR="0049120B" w:rsidRPr="00E35C1C" w:rsidRDefault="0049120B" w:rsidP="00EC7216">
            <w:pPr>
              <w:rPr>
                <w:rFonts w:ascii="Arial" w:hAnsi="Arial"/>
                <w:sz w:val="20"/>
              </w:rPr>
            </w:pPr>
            <w:r w:rsidRPr="00E35C1C">
              <w:rPr>
                <w:rFonts w:ascii="Arial" w:hAnsi="Arial"/>
                <w:sz w:val="20"/>
              </w:rPr>
              <w:t>(MEC + MLC) – (BEC + BLC)</w:t>
            </w:r>
          </w:p>
        </w:tc>
        <w:tc>
          <w:tcPr>
            <w:tcW w:w="1396" w:type="pct"/>
            <w:shd w:val="clear" w:color="auto" w:fill="auto"/>
          </w:tcPr>
          <w:p w14:paraId="7F4B4E4A" w14:textId="77777777" w:rsidR="0049120B" w:rsidRPr="00E35C1C" w:rsidRDefault="0049120B" w:rsidP="00EC7216">
            <w:pPr>
              <w:rPr>
                <w:rFonts w:ascii="Arial" w:hAnsi="Arial"/>
                <w:sz w:val="20"/>
              </w:rPr>
            </w:pPr>
            <w:r w:rsidRPr="00E35C1C">
              <w:rPr>
                <w:rFonts w:ascii="Arial" w:hAnsi="Arial"/>
                <w:sz w:val="20"/>
              </w:rPr>
              <w:t>MEC + MLC</w:t>
            </w:r>
          </w:p>
        </w:tc>
        <w:tc>
          <w:tcPr>
            <w:tcW w:w="1489" w:type="pct"/>
            <w:shd w:val="clear" w:color="auto" w:fill="auto"/>
          </w:tcPr>
          <w:p w14:paraId="07075F9A" w14:textId="77777777" w:rsidR="0049120B" w:rsidRPr="00E35C1C" w:rsidRDefault="0049120B" w:rsidP="00EC7216">
            <w:pPr>
              <w:rPr>
                <w:rFonts w:ascii="Arial" w:hAnsi="Arial"/>
                <w:sz w:val="20"/>
              </w:rPr>
            </w:pPr>
            <w:r w:rsidRPr="00E35C1C">
              <w:rPr>
                <w:rFonts w:ascii="Arial" w:hAnsi="Arial"/>
                <w:sz w:val="20"/>
              </w:rPr>
              <w:t>N/A</w:t>
            </w:r>
          </w:p>
        </w:tc>
      </w:tr>
      <w:tr w:rsidR="009F14ED" w:rsidRPr="009842A2" w14:paraId="566BB692" w14:textId="77777777" w:rsidTr="00E35C1C">
        <w:tc>
          <w:tcPr>
            <w:tcW w:w="671" w:type="pct"/>
            <w:shd w:val="clear" w:color="auto" w:fill="auto"/>
          </w:tcPr>
          <w:p w14:paraId="1E1CDCB3" w14:textId="77777777" w:rsidR="0049120B" w:rsidRPr="00E35C1C" w:rsidRDefault="0049120B" w:rsidP="00EC7216">
            <w:pPr>
              <w:rPr>
                <w:rFonts w:ascii="Arial" w:hAnsi="Arial"/>
                <w:sz w:val="20"/>
              </w:rPr>
            </w:pPr>
            <w:r w:rsidRPr="00E35C1C">
              <w:rPr>
                <w:rFonts w:ascii="Arial" w:hAnsi="Arial"/>
                <w:sz w:val="20"/>
              </w:rPr>
              <w:t>REA</w:t>
            </w:r>
          </w:p>
        </w:tc>
        <w:tc>
          <w:tcPr>
            <w:tcW w:w="1443" w:type="pct"/>
            <w:shd w:val="clear" w:color="auto" w:fill="auto"/>
          </w:tcPr>
          <w:p w14:paraId="544B926C" w14:textId="77777777" w:rsidR="0049120B" w:rsidRPr="00E35C1C" w:rsidRDefault="0049120B" w:rsidP="00EC7216">
            <w:pPr>
              <w:rPr>
                <w:rFonts w:ascii="Arial" w:hAnsi="Arial"/>
                <w:sz w:val="20"/>
              </w:rPr>
            </w:pPr>
            <w:r w:rsidRPr="00E35C1C">
              <w:rPr>
                <w:rFonts w:ascii="Arial" w:hAnsi="Arial"/>
                <w:sz w:val="20"/>
              </w:rPr>
              <w:t>MEC + MLC</w:t>
            </w:r>
          </w:p>
        </w:tc>
        <w:tc>
          <w:tcPr>
            <w:tcW w:w="1396" w:type="pct"/>
            <w:shd w:val="clear" w:color="auto" w:fill="auto"/>
          </w:tcPr>
          <w:p w14:paraId="723D1971" w14:textId="77777777" w:rsidR="0049120B" w:rsidRPr="00E35C1C" w:rsidRDefault="0049120B" w:rsidP="00EC7216">
            <w:pPr>
              <w:rPr>
                <w:rFonts w:ascii="Arial" w:hAnsi="Arial"/>
                <w:sz w:val="20"/>
              </w:rPr>
            </w:pPr>
            <w:r w:rsidRPr="00E35C1C">
              <w:rPr>
                <w:rFonts w:ascii="Arial" w:hAnsi="Arial"/>
                <w:sz w:val="20"/>
              </w:rPr>
              <w:t>MEC + MLC</w:t>
            </w:r>
          </w:p>
        </w:tc>
        <w:tc>
          <w:tcPr>
            <w:tcW w:w="1489" w:type="pct"/>
            <w:shd w:val="clear" w:color="auto" w:fill="auto"/>
          </w:tcPr>
          <w:p w14:paraId="2D05E695" w14:textId="77777777" w:rsidR="0049120B" w:rsidRPr="00E35C1C" w:rsidRDefault="0049120B" w:rsidP="00EC7216">
            <w:pPr>
              <w:rPr>
                <w:rFonts w:ascii="Arial" w:hAnsi="Arial"/>
                <w:sz w:val="20"/>
              </w:rPr>
            </w:pPr>
            <w:r w:rsidRPr="00E35C1C">
              <w:rPr>
                <w:rFonts w:ascii="Arial" w:hAnsi="Arial"/>
                <w:sz w:val="20"/>
              </w:rPr>
              <w:t>N/A</w:t>
            </w:r>
          </w:p>
        </w:tc>
      </w:tr>
    </w:tbl>
    <w:p w14:paraId="7D47F413" w14:textId="77777777" w:rsidR="0049120B" w:rsidRPr="00A81C79" w:rsidRDefault="0049120B" w:rsidP="0049120B">
      <w:pPr>
        <w:rPr>
          <w:rFonts w:ascii="Arial" w:hAnsi="Arial"/>
          <w:sz w:val="20"/>
        </w:rPr>
      </w:pPr>
      <w:r w:rsidRPr="00A81C79">
        <w:rPr>
          <w:rFonts w:ascii="Arial" w:hAnsi="Arial"/>
          <w:sz w:val="20"/>
        </w:rPr>
        <w:t>MEC = Measure Equipment Cost; MLC = Measure Labor Cost</w:t>
      </w:r>
    </w:p>
    <w:p w14:paraId="4C6B7277" w14:textId="77777777" w:rsidR="0049120B" w:rsidRPr="00A81C79" w:rsidRDefault="0049120B" w:rsidP="0049120B">
      <w:pPr>
        <w:rPr>
          <w:rFonts w:ascii="Arial" w:hAnsi="Arial"/>
          <w:sz w:val="20"/>
        </w:rPr>
      </w:pPr>
      <w:r w:rsidRPr="00A81C79">
        <w:rPr>
          <w:rFonts w:ascii="Arial" w:hAnsi="Arial"/>
          <w:sz w:val="20"/>
        </w:rPr>
        <w:t>BEC = Base Case Equipment Cost; BLC = Base Case Labor Cost</w:t>
      </w:r>
    </w:p>
    <w:bookmarkEnd w:id="165"/>
    <w:p w14:paraId="511318EB" w14:textId="77777777" w:rsidR="0049120B" w:rsidRPr="00A81C79" w:rsidRDefault="0049120B" w:rsidP="005F3DA0"/>
    <w:p w14:paraId="64AFD978" w14:textId="2DF09BCC" w:rsidR="0049120B" w:rsidRDefault="0049120B" w:rsidP="005F3DA0">
      <w:pPr>
        <w:rPr>
          <w:rFonts w:ascii="Arial" w:hAnsi="Arial"/>
          <w:sz w:val="20"/>
        </w:rPr>
      </w:pPr>
      <w:r w:rsidRPr="00A81C79">
        <w:rPr>
          <w:rFonts w:ascii="Arial" w:hAnsi="Arial"/>
          <w:sz w:val="20"/>
        </w:rPr>
        <w:t xml:space="preserve">Please refer to the </w:t>
      </w:r>
      <w:r w:rsidR="00A81C79">
        <w:rPr>
          <w:rFonts w:ascii="Arial" w:hAnsi="Arial" w:cs="Arial"/>
          <w:sz w:val="20"/>
        </w:rPr>
        <w:t>savings</w:t>
      </w:r>
      <w:r w:rsidRPr="00A81C79">
        <w:rPr>
          <w:rFonts w:ascii="Arial" w:hAnsi="Arial"/>
          <w:sz w:val="20"/>
        </w:rPr>
        <w:t xml:space="preserve"> spreadsheet for detailed </w:t>
      </w:r>
      <w:r w:rsidR="00A81C79">
        <w:rPr>
          <w:rFonts w:ascii="Arial" w:hAnsi="Arial" w:cs="Arial"/>
          <w:sz w:val="20"/>
        </w:rPr>
        <w:t>base case</w:t>
      </w:r>
      <w:r>
        <w:rPr>
          <w:rFonts w:ascii="Arial" w:hAnsi="Arial"/>
          <w:sz w:val="20"/>
        </w:rPr>
        <w:t xml:space="preserve"> and </w:t>
      </w:r>
      <w:r w:rsidR="00A81C79">
        <w:rPr>
          <w:rFonts w:ascii="Arial" w:hAnsi="Arial" w:cs="Arial"/>
          <w:sz w:val="20"/>
        </w:rPr>
        <w:t>measure case</w:t>
      </w:r>
      <w:r>
        <w:rPr>
          <w:rFonts w:ascii="Arial" w:hAnsi="Arial"/>
          <w:sz w:val="20"/>
        </w:rPr>
        <w:t xml:space="preserve"> </w:t>
      </w:r>
      <w:r w:rsidRPr="00A81C79">
        <w:rPr>
          <w:rFonts w:ascii="Arial" w:hAnsi="Arial"/>
          <w:sz w:val="20"/>
        </w:rPr>
        <w:t xml:space="preserve">cost information.  </w:t>
      </w:r>
    </w:p>
    <w:p w14:paraId="0295B316" w14:textId="4403FB87" w:rsidR="00766A37" w:rsidRDefault="00766A37" w:rsidP="005F3DA0">
      <w:pPr>
        <w:rPr>
          <w:rFonts w:ascii="Arial" w:hAnsi="Arial"/>
          <w:sz w:val="20"/>
        </w:rPr>
      </w:pPr>
    </w:p>
    <w:p w14:paraId="7D23EC0E" w14:textId="77777777" w:rsidR="00766A37" w:rsidRDefault="00766A37" w:rsidP="00D13BF3">
      <w:pPr>
        <w:pStyle w:val="Heading3"/>
        <w:spacing w:before="0"/>
      </w:pPr>
      <w:bookmarkStart w:id="166" w:name="_Toc533763825"/>
      <w:bookmarkStart w:id="167" w:name="_Toc2804931"/>
      <w:r w:rsidRPr="00746B00">
        <w:t>4.3.1 Full Measure Cost</w:t>
      </w:r>
      <w:bookmarkEnd w:id="166"/>
      <w:bookmarkEnd w:id="167"/>
    </w:p>
    <w:p w14:paraId="6623D6A3" w14:textId="1F1B2ABB" w:rsidR="00766A37" w:rsidRDefault="00766A37" w:rsidP="00766A37">
      <w:pPr>
        <w:rPr>
          <w:rFonts w:ascii="Arial" w:hAnsi="Arial" w:cs="Arial"/>
          <w:sz w:val="20"/>
          <w:szCs w:val="20"/>
        </w:rPr>
      </w:pPr>
      <w:r>
        <w:rPr>
          <w:rFonts w:ascii="Arial" w:hAnsi="Arial" w:cs="Arial"/>
          <w:sz w:val="20"/>
          <w:szCs w:val="20"/>
        </w:rPr>
        <w:t xml:space="preserve">The Full </w:t>
      </w:r>
      <w:r w:rsidRPr="005B1DEA">
        <w:rPr>
          <w:rFonts w:ascii="Arial" w:hAnsi="Arial" w:cs="Arial"/>
          <w:sz w:val="20"/>
          <w:szCs w:val="20"/>
        </w:rPr>
        <w:t>Measure Cost is applicable to Direct Install programs.</w:t>
      </w:r>
      <w:r>
        <w:rPr>
          <w:rFonts w:ascii="Arial" w:hAnsi="Arial" w:cs="Arial"/>
          <w:sz w:val="20"/>
          <w:szCs w:val="20"/>
        </w:rPr>
        <w:t xml:space="preserve"> There is an effort on updating systems to collect a</w:t>
      </w:r>
      <w:r w:rsidR="004879EB">
        <w:rPr>
          <w:rFonts w:ascii="Arial" w:hAnsi="Arial" w:cs="Arial"/>
          <w:sz w:val="20"/>
          <w:szCs w:val="20"/>
        </w:rPr>
        <w:t>ctual costs from implementers. Unt</w:t>
      </w:r>
      <w:r>
        <w:rPr>
          <w:rFonts w:ascii="Arial" w:hAnsi="Arial" w:cs="Arial"/>
          <w:sz w:val="20"/>
          <w:szCs w:val="20"/>
        </w:rPr>
        <w:t xml:space="preserve">il then the </w:t>
      </w:r>
      <w:r w:rsidR="004879EB">
        <w:rPr>
          <w:rFonts w:ascii="Arial" w:hAnsi="Arial" w:cs="Arial"/>
          <w:sz w:val="20"/>
          <w:szCs w:val="20"/>
        </w:rPr>
        <w:t>measure equipment costs plus t</w:t>
      </w:r>
      <w:r w:rsidR="004879EB" w:rsidRPr="005E52D2">
        <w:rPr>
          <w:rFonts w:ascii="Arial" w:hAnsi="Arial" w:cs="Arial"/>
          <w:sz w:val="20"/>
          <w:szCs w:val="20"/>
        </w:rPr>
        <w:t xml:space="preserve">he labor cost </w:t>
      </w:r>
      <w:r w:rsidR="004879EB">
        <w:rPr>
          <w:rFonts w:ascii="Arial" w:hAnsi="Arial" w:cs="Arial"/>
          <w:sz w:val="20"/>
          <w:szCs w:val="20"/>
        </w:rPr>
        <w:t>of</w:t>
      </w:r>
      <w:r w:rsidR="004879EB" w:rsidRPr="006E18CA">
        <w:rPr>
          <w:rFonts w:ascii="Arial" w:hAnsi="Arial" w:cs="Arial"/>
          <w:sz w:val="20"/>
          <w:szCs w:val="20"/>
        </w:rPr>
        <w:t xml:space="preserve"> </w:t>
      </w:r>
      <w:r w:rsidR="004879EB" w:rsidRPr="00A7438F">
        <w:rPr>
          <w:rFonts w:ascii="Arial" w:hAnsi="Arial" w:cs="Arial"/>
          <w:sz w:val="20"/>
          <w:szCs w:val="20"/>
        </w:rPr>
        <w:t>$187.14</w:t>
      </w:r>
      <w:r w:rsidR="004879EB">
        <w:rPr>
          <w:rFonts w:ascii="Arial" w:hAnsi="Arial" w:cs="Arial"/>
          <w:sz w:val="20"/>
          <w:szCs w:val="20"/>
        </w:rPr>
        <w:t xml:space="preserve"> will be used for direct install.</w:t>
      </w:r>
    </w:p>
    <w:p w14:paraId="07EE074E" w14:textId="77777777" w:rsidR="00766A37" w:rsidRPr="005B1DEA" w:rsidRDefault="00766A37" w:rsidP="00766A37">
      <w:pPr>
        <w:rPr>
          <w:rFonts w:ascii="Arial" w:hAnsi="Arial" w:cs="Arial"/>
          <w:sz w:val="20"/>
          <w:szCs w:val="20"/>
        </w:rPr>
      </w:pPr>
    </w:p>
    <w:p w14:paraId="519AF7E1" w14:textId="77777777" w:rsidR="00766A37" w:rsidRDefault="00766A37" w:rsidP="00766A37">
      <w:pPr>
        <w:rPr>
          <w:rFonts w:ascii="Arial" w:hAnsi="Arial" w:cs="Arial"/>
          <w:sz w:val="20"/>
          <w:szCs w:val="20"/>
        </w:rPr>
      </w:pPr>
      <w:r>
        <w:rPr>
          <w:rFonts w:ascii="Arial" w:hAnsi="Arial" w:cs="Arial"/>
          <w:sz w:val="20"/>
          <w:szCs w:val="20"/>
        </w:rPr>
        <w:t>FMC</w:t>
      </w:r>
      <w:r w:rsidRPr="005B1DEA">
        <w:rPr>
          <w:rFonts w:ascii="Arial" w:hAnsi="Arial" w:cs="Arial"/>
          <w:sz w:val="20"/>
          <w:szCs w:val="20"/>
        </w:rPr>
        <w:t xml:space="preserve"> = Measure Equipment Cost + Measure Labor Cost</w:t>
      </w:r>
    </w:p>
    <w:p w14:paraId="67D54E26" w14:textId="77777777" w:rsidR="00766A37" w:rsidRPr="00A81C79" w:rsidRDefault="00766A37" w:rsidP="005F3DA0">
      <w:pPr>
        <w:rPr>
          <w:rFonts w:ascii="Arial" w:hAnsi="Arial"/>
          <w:sz w:val="20"/>
        </w:rPr>
      </w:pPr>
    </w:p>
    <w:p w14:paraId="02E81AB7" w14:textId="77777777" w:rsidR="00F44B64" w:rsidRPr="00773056" w:rsidRDefault="00F44B64" w:rsidP="00773056">
      <w:pPr>
        <w:pStyle w:val="Heading1"/>
        <w:tabs>
          <w:tab w:val="left" w:pos="3495"/>
        </w:tabs>
        <w:spacing w:before="0" w:after="240"/>
        <w:rPr>
          <w:b w:val="0"/>
        </w:rPr>
      </w:pPr>
      <w:bookmarkStart w:id="168" w:name="_Toc511038056"/>
      <w:bookmarkStart w:id="169" w:name="_Toc2804932"/>
      <w:r w:rsidRPr="00773056">
        <w:rPr>
          <w:b w:val="0"/>
        </w:rPr>
        <w:lastRenderedPageBreak/>
        <w:t>Attachments</w:t>
      </w:r>
      <w:bookmarkEnd w:id="168"/>
      <w:bookmarkEnd w:id="169"/>
    </w:p>
    <w:p w14:paraId="3777B6DD" w14:textId="4DFD37B2" w:rsidR="00F44B64" w:rsidRPr="00A81C79" w:rsidRDefault="00D26FA7" w:rsidP="00773056">
      <w:pPr>
        <w:spacing w:line="360" w:lineRule="auto"/>
        <w:rPr>
          <w:rFonts w:ascii="Arial" w:hAnsi="Arial"/>
          <w:sz w:val="20"/>
        </w:rPr>
      </w:pPr>
      <w:r w:rsidRPr="00A81C79">
        <w:rPr>
          <w:rFonts w:ascii="Arial" w:hAnsi="Arial"/>
          <w:sz w:val="20"/>
        </w:rPr>
        <w:t>Attachment 1 – ROB vs NC.xlsx</w:t>
      </w:r>
    </w:p>
    <w:p w14:paraId="064E810F" w14:textId="12F4B68D" w:rsidR="00A81C79" w:rsidRPr="00A81C79" w:rsidRDefault="00A81C79" w:rsidP="00773056">
      <w:pPr>
        <w:tabs>
          <w:tab w:val="left" w:pos="7755"/>
        </w:tabs>
        <w:spacing w:line="360" w:lineRule="auto"/>
        <w:rPr>
          <w:rFonts w:ascii="Arial" w:hAnsi="Arial" w:cs="Arial"/>
          <w:sz w:val="20"/>
          <w:szCs w:val="20"/>
        </w:rPr>
      </w:pPr>
      <w:r w:rsidRPr="00A81C79">
        <w:rPr>
          <w:rFonts w:ascii="Arial" w:hAnsi="Arial" w:cs="Arial"/>
          <w:sz w:val="20"/>
          <w:szCs w:val="20"/>
        </w:rPr>
        <w:t>Attachment 2 – ProgramCostData2016.01.01-2018.03.29_cleaned.xlsx</w:t>
      </w:r>
      <w:r w:rsidR="000E0BA4">
        <w:rPr>
          <w:rFonts w:ascii="Arial" w:hAnsi="Arial" w:cs="Arial"/>
          <w:sz w:val="20"/>
          <w:szCs w:val="20"/>
        </w:rPr>
        <w:tab/>
      </w:r>
    </w:p>
    <w:p w14:paraId="23A304CB" w14:textId="12E7BBA7" w:rsidR="00076858" w:rsidRDefault="00076858" w:rsidP="00773056">
      <w:pPr>
        <w:spacing w:line="360" w:lineRule="auto"/>
        <w:rPr>
          <w:rFonts w:ascii="Arial" w:hAnsi="Arial" w:cs="Arial"/>
          <w:sz w:val="20"/>
          <w:szCs w:val="20"/>
        </w:rPr>
      </w:pPr>
      <w:r w:rsidRPr="00A81C79">
        <w:rPr>
          <w:rFonts w:ascii="Arial" w:hAnsi="Arial" w:cs="Arial"/>
          <w:sz w:val="20"/>
          <w:szCs w:val="20"/>
        </w:rPr>
        <w:t xml:space="preserve">Attachment </w:t>
      </w:r>
      <w:r>
        <w:rPr>
          <w:rFonts w:ascii="Arial" w:hAnsi="Arial" w:cs="Arial"/>
          <w:sz w:val="20"/>
          <w:szCs w:val="20"/>
        </w:rPr>
        <w:t>3</w:t>
      </w:r>
      <w:r w:rsidRPr="00A81C79">
        <w:rPr>
          <w:rFonts w:ascii="Arial" w:hAnsi="Arial" w:cs="Arial"/>
          <w:sz w:val="20"/>
          <w:szCs w:val="20"/>
        </w:rPr>
        <w:t xml:space="preserve"> – </w:t>
      </w:r>
      <w:r w:rsidR="004674CA">
        <w:rPr>
          <w:rFonts w:ascii="Arial" w:hAnsi="Arial" w:cs="Arial"/>
          <w:sz w:val="20"/>
          <w:szCs w:val="20"/>
        </w:rPr>
        <w:t>SCE High Bay Pricing</w:t>
      </w:r>
      <w:r w:rsidRPr="00A81C79">
        <w:rPr>
          <w:rFonts w:ascii="Arial" w:hAnsi="Arial" w:cs="Arial"/>
          <w:sz w:val="20"/>
          <w:szCs w:val="20"/>
        </w:rPr>
        <w:t>.xlsx</w:t>
      </w:r>
    </w:p>
    <w:p w14:paraId="3D15280D" w14:textId="1F4EF916" w:rsidR="004674CA" w:rsidRDefault="006666F0" w:rsidP="00773056">
      <w:pPr>
        <w:spacing w:line="360" w:lineRule="auto"/>
        <w:rPr>
          <w:rFonts w:ascii="Arial" w:hAnsi="Arial" w:cs="Arial"/>
          <w:sz w:val="20"/>
          <w:szCs w:val="20"/>
        </w:rPr>
      </w:pPr>
      <w:r>
        <w:rPr>
          <w:rFonts w:ascii="Arial" w:hAnsi="Arial" w:cs="Arial"/>
          <w:sz w:val="20"/>
          <w:szCs w:val="20"/>
        </w:rPr>
        <w:t xml:space="preserve">Attachment 4 </w:t>
      </w:r>
      <w:r w:rsidR="004674CA">
        <w:rPr>
          <w:rFonts w:ascii="Arial" w:hAnsi="Arial" w:cs="Arial"/>
          <w:sz w:val="20"/>
          <w:szCs w:val="20"/>
        </w:rPr>
        <w:t>–</w:t>
      </w:r>
      <w:r>
        <w:rPr>
          <w:rFonts w:ascii="Arial" w:hAnsi="Arial" w:cs="Arial"/>
          <w:sz w:val="20"/>
          <w:szCs w:val="20"/>
        </w:rPr>
        <w:t xml:space="preserve"> </w:t>
      </w:r>
      <w:proofErr w:type="spellStart"/>
      <w:r w:rsidR="004A7A73">
        <w:rPr>
          <w:rFonts w:ascii="Arial" w:hAnsi="Arial" w:cs="Arial"/>
          <w:sz w:val="20"/>
          <w:szCs w:val="20"/>
        </w:rPr>
        <w:t>LF_</w:t>
      </w:r>
      <w:r w:rsidR="00565A00">
        <w:rPr>
          <w:rFonts w:ascii="Arial" w:hAnsi="Arial" w:cs="Arial"/>
          <w:sz w:val="20"/>
          <w:szCs w:val="20"/>
        </w:rPr>
        <w:t>Efficacy</w:t>
      </w:r>
      <w:proofErr w:type="spellEnd"/>
      <w:r w:rsidR="00565A00">
        <w:rPr>
          <w:rFonts w:ascii="Arial" w:hAnsi="Arial" w:cs="Arial"/>
          <w:sz w:val="20"/>
          <w:szCs w:val="20"/>
        </w:rPr>
        <w:t xml:space="preserve"> and Output_20180525</w:t>
      </w:r>
      <w:r w:rsidR="004674CA">
        <w:rPr>
          <w:rFonts w:ascii="Arial" w:hAnsi="Arial" w:cs="Arial"/>
          <w:sz w:val="20"/>
          <w:szCs w:val="20"/>
        </w:rPr>
        <w:t>.xlsx</w:t>
      </w:r>
    </w:p>
    <w:p w14:paraId="532BDDB1" w14:textId="1A37CA3B" w:rsidR="006666F0" w:rsidRDefault="004674CA" w:rsidP="00773056">
      <w:pPr>
        <w:spacing w:line="360" w:lineRule="auto"/>
        <w:rPr>
          <w:rFonts w:ascii="Arial" w:hAnsi="Arial" w:cs="Arial"/>
          <w:sz w:val="20"/>
          <w:szCs w:val="20"/>
        </w:rPr>
      </w:pPr>
      <w:r>
        <w:rPr>
          <w:rFonts w:ascii="Arial" w:hAnsi="Arial" w:cs="Arial"/>
          <w:sz w:val="20"/>
          <w:szCs w:val="20"/>
        </w:rPr>
        <w:t xml:space="preserve">Attachment 5 - </w:t>
      </w:r>
      <w:r w:rsidR="006666F0" w:rsidRPr="006666F0">
        <w:rPr>
          <w:rFonts w:ascii="Arial" w:hAnsi="Arial" w:cs="Arial"/>
          <w:sz w:val="20"/>
          <w:szCs w:val="20"/>
        </w:rPr>
        <w:t>Hig</w:t>
      </w:r>
      <w:r w:rsidR="00565A00">
        <w:rPr>
          <w:rFonts w:ascii="Arial" w:hAnsi="Arial" w:cs="Arial"/>
          <w:sz w:val="20"/>
          <w:szCs w:val="20"/>
        </w:rPr>
        <w:t>hLowBay-InterimSolution_20180525</w:t>
      </w:r>
      <w:r w:rsidR="006666F0">
        <w:rPr>
          <w:rFonts w:ascii="Arial" w:hAnsi="Arial" w:cs="Arial"/>
          <w:sz w:val="20"/>
          <w:szCs w:val="20"/>
        </w:rPr>
        <w:t>.xlsx</w:t>
      </w:r>
    </w:p>
    <w:p w14:paraId="787F7600" w14:textId="0B762EDD" w:rsidR="004674CA" w:rsidRDefault="004674CA" w:rsidP="00773056">
      <w:pPr>
        <w:spacing w:line="360" w:lineRule="auto"/>
        <w:rPr>
          <w:rFonts w:ascii="Arial" w:hAnsi="Arial" w:cs="Arial"/>
          <w:sz w:val="20"/>
          <w:szCs w:val="20"/>
        </w:rPr>
      </w:pPr>
      <w:r w:rsidRPr="004674CA">
        <w:rPr>
          <w:rFonts w:ascii="Arial" w:hAnsi="Arial" w:cs="Arial"/>
          <w:sz w:val="20"/>
          <w:szCs w:val="20"/>
        </w:rPr>
        <w:t>PGECOLTG178 R</w:t>
      </w:r>
      <w:r w:rsidR="00D13BF3">
        <w:rPr>
          <w:rFonts w:ascii="Arial" w:hAnsi="Arial" w:cs="Arial"/>
          <w:sz w:val="20"/>
          <w:szCs w:val="20"/>
        </w:rPr>
        <w:t>4</w:t>
      </w:r>
      <w:r w:rsidRPr="004674CA">
        <w:rPr>
          <w:rFonts w:ascii="Arial" w:hAnsi="Arial" w:cs="Arial"/>
          <w:sz w:val="20"/>
          <w:szCs w:val="20"/>
        </w:rPr>
        <w:t xml:space="preserve"> EDReports</w:t>
      </w:r>
      <w:r>
        <w:rPr>
          <w:rFonts w:ascii="Arial" w:hAnsi="Arial" w:cs="Arial"/>
          <w:sz w:val="20"/>
          <w:szCs w:val="20"/>
        </w:rPr>
        <w:t>.xlsx</w:t>
      </w:r>
    </w:p>
    <w:p w14:paraId="134E38D8" w14:textId="646B815E" w:rsidR="00EA64AD" w:rsidRPr="00773056" w:rsidRDefault="00F44B64" w:rsidP="00773056">
      <w:pPr>
        <w:rPr>
          <w:rFonts w:ascii="Arial" w:hAnsi="Arial" w:cs="Arial"/>
          <w:sz w:val="32"/>
          <w:szCs w:val="32"/>
        </w:rPr>
      </w:pPr>
      <w:r w:rsidRPr="00A81C79">
        <w:rPr>
          <w:rFonts w:ascii="Arial" w:hAnsi="Arial"/>
          <w:sz w:val="20"/>
        </w:rPr>
        <w:br w:type="page"/>
      </w:r>
      <w:bookmarkStart w:id="170" w:name="_Toc511038057"/>
      <w:r w:rsidR="00DE0602" w:rsidRPr="00773056">
        <w:rPr>
          <w:rFonts w:ascii="Arial" w:hAnsi="Arial" w:cs="Arial"/>
          <w:sz w:val="32"/>
          <w:szCs w:val="32"/>
        </w:rPr>
        <w:lastRenderedPageBreak/>
        <w:t>R</w:t>
      </w:r>
      <w:r w:rsidR="000966CC" w:rsidRPr="00773056">
        <w:rPr>
          <w:rFonts w:ascii="Arial" w:hAnsi="Arial" w:cs="Arial"/>
          <w:sz w:val="32"/>
          <w:szCs w:val="32"/>
        </w:rPr>
        <w:t>eferences</w:t>
      </w:r>
      <w:bookmarkEnd w:id="170"/>
      <w:r w:rsidR="00844B27" w:rsidRPr="00773056">
        <w:rPr>
          <w:rFonts w:ascii="Arial" w:hAnsi="Arial" w:cs="Arial"/>
          <w:sz w:val="32"/>
          <w:szCs w:val="32"/>
        </w:rPr>
        <w:t xml:space="preserve"> </w:t>
      </w:r>
    </w:p>
    <w:p w14:paraId="5A14A0D9" w14:textId="77777777" w:rsidR="00773056" w:rsidRPr="00773056" w:rsidRDefault="00773056" w:rsidP="00773056"/>
    <w:sectPr w:rsidR="00773056" w:rsidRPr="00773056" w:rsidSect="007B68E7">
      <w:endnotePr>
        <w:numFmt w:val="decimal"/>
      </w:endnotePr>
      <w:type w:val="continuous"/>
      <w:pgSz w:w="12240" w:h="15840"/>
      <w:pgMar w:top="1440" w:right="1440" w:bottom="1440" w:left="1440" w:header="720" w:footer="720" w:gutter="0"/>
      <w:pgNumType w:chapStyle="1"/>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80F553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0F553D" w16cid:durableId="202A17B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B3F21" w14:textId="77777777" w:rsidR="0049074B" w:rsidRDefault="0049074B">
      <w:r>
        <w:separator/>
      </w:r>
    </w:p>
  </w:endnote>
  <w:endnote w:type="continuationSeparator" w:id="0">
    <w:p w14:paraId="4C6494A6" w14:textId="77777777" w:rsidR="0049074B" w:rsidRDefault="0049074B">
      <w:r>
        <w:continuationSeparator/>
      </w:r>
    </w:p>
  </w:endnote>
  <w:endnote w:type="continuationNotice" w:id="1">
    <w:p w14:paraId="3AAA828D" w14:textId="77777777" w:rsidR="0049074B" w:rsidRDefault="0049074B"/>
  </w:endnote>
  <w:endnote w:id="2">
    <w:p w14:paraId="638C903B" w14:textId="77777777" w:rsidR="00873B7F" w:rsidRDefault="00873B7F" w:rsidP="003863C4">
      <w:pPr>
        <w:pStyle w:val="EndnoteText"/>
      </w:pPr>
      <w:r>
        <w:rPr>
          <w:rStyle w:val="EndnoteReference"/>
        </w:rPr>
        <w:endnoteRef/>
      </w:r>
      <w:r>
        <w:t xml:space="preserve"> National Electrical Manufacturers Association (NEMA) 2Q 2017 Sales Data </w:t>
      </w:r>
      <w:hyperlink r:id="rId1" w:history="1">
        <w:r w:rsidRPr="004C4992">
          <w:rPr>
            <w:rStyle w:val="Hyperlink"/>
          </w:rPr>
          <w:t>https://www.nema.org/Intelligence/Indices/Pages/Linear-Fluorescent-Lamp-Indexes-Continue-to-Decline-in-Second-Quarter-2017-while-T-LED-Market-Penetration-Increases.aspx</w:t>
        </w:r>
      </w:hyperlink>
    </w:p>
  </w:endnote>
  <w:endnote w:id="3">
    <w:p w14:paraId="22860492" w14:textId="77777777" w:rsidR="00873B7F" w:rsidRDefault="00873B7F" w:rsidP="003863C4">
      <w:pPr>
        <w:pStyle w:val="EndnoteText"/>
      </w:pPr>
    </w:p>
    <w:p w14:paraId="0A6A266A" w14:textId="77777777" w:rsidR="00873B7F" w:rsidRDefault="00873B7F" w:rsidP="003863C4">
      <w:pPr>
        <w:pStyle w:val="EndnoteText"/>
      </w:pPr>
      <w:r>
        <w:rPr>
          <w:rStyle w:val="EndnoteReference"/>
        </w:rPr>
        <w:endnoteRef/>
      </w:r>
      <w:r>
        <w:t xml:space="preserve"> Navigant Consulting, </w:t>
      </w:r>
      <w:hyperlink r:id="rId2" w:history="1">
        <w:r w:rsidRPr="00C2089A">
          <w:rPr>
            <w:rStyle w:val="Hyperlink"/>
          </w:rPr>
          <w:t>California LED Pricing Analysis, January 2018</w:t>
        </w:r>
      </w:hyperlink>
      <w:r>
        <w:t xml:space="preserve"> </w:t>
      </w:r>
    </w:p>
  </w:endnote>
  <w:endnote w:id="4">
    <w:p w14:paraId="7C3F667A" w14:textId="77777777" w:rsidR="00873B7F" w:rsidRDefault="00873B7F" w:rsidP="00306E82">
      <w:pPr>
        <w:pStyle w:val="EndnoteText"/>
        <w:rPr>
          <w:rFonts w:ascii="Arial" w:hAnsi="Arial" w:cs="Arial"/>
        </w:rPr>
      </w:pPr>
    </w:p>
    <w:p w14:paraId="10F73470" w14:textId="072D486D" w:rsidR="00873B7F" w:rsidRDefault="00873B7F" w:rsidP="00306E82">
      <w:pPr>
        <w:pStyle w:val="EndnoteText"/>
        <w:rPr>
          <w:rFonts w:ascii="Arial" w:hAnsi="Arial" w:cs="Arial"/>
        </w:rPr>
      </w:pPr>
      <w:r w:rsidRPr="0076474B">
        <w:rPr>
          <w:rStyle w:val="EndnoteReference"/>
          <w:rFonts w:ascii="Arial" w:hAnsi="Arial" w:cs="Arial"/>
        </w:rPr>
        <w:endnoteRef/>
      </w:r>
      <w:r w:rsidRPr="0076474B">
        <w:rPr>
          <w:rFonts w:ascii="Arial" w:hAnsi="Arial" w:cs="Arial"/>
        </w:rPr>
        <w:t xml:space="preserve"> </w:t>
      </w:r>
      <w:hyperlink r:id="rId3" w:history="1">
        <w:r w:rsidRPr="00215B94">
          <w:rPr>
            <w:rStyle w:val="Hyperlink"/>
            <w:rFonts w:ascii="Arial" w:hAnsi="Arial" w:cs="Arial"/>
          </w:rPr>
          <w:t>https://www.designlights.org/default/assets/File/Workplan/DLC_Technical-Requirements-Table-V4-4.pdf</w:t>
        </w:r>
      </w:hyperlink>
    </w:p>
    <w:p w14:paraId="0D4686D5" w14:textId="77777777" w:rsidR="00873B7F" w:rsidRPr="0076474B" w:rsidRDefault="00873B7F" w:rsidP="00306E82">
      <w:pPr>
        <w:pStyle w:val="EndnoteText"/>
        <w:rPr>
          <w:rFonts w:ascii="Arial" w:hAnsi="Arial" w:cs="Arial"/>
        </w:rPr>
      </w:pPr>
    </w:p>
  </w:endnote>
  <w:endnote w:id="5">
    <w:p w14:paraId="5E281260" w14:textId="77777777" w:rsidR="00873B7F" w:rsidRPr="0076474B" w:rsidRDefault="00873B7F" w:rsidP="00306E82">
      <w:pPr>
        <w:pStyle w:val="EndnoteText"/>
        <w:rPr>
          <w:rFonts w:ascii="Arial" w:hAnsi="Arial" w:cs="Arial"/>
        </w:rPr>
      </w:pPr>
      <w:r w:rsidRPr="0076474B">
        <w:rPr>
          <w:rStyle w:val="EndnoteReference"/>
          <w:rFonts w:ascii="Arial" w:hAnsi="Arial" w:cs="Arial"/>
        </w:rPr>
        <w:endnoteRef/>
      </w:r>
      <w:r w:rsidRPr="0076474B">
        <w:rPr>
          <w:rFonts w:ascii="Arial" w:hAnsi="Arial" w:cs="Arial"/>
        </w:rPr>
        <w:t xml:space="preserve"> https://www.designlights.org/search/</w:t>
      </w:r>
    </w:p>
  </w:endnote>
  <w:endnote w:id="6">
    <w:p w14:paraId="76DAC149" w14:textId="77777777" w:rsidR="00873B7F" w:rsidRDefault="00873B7F" w:rsidP="003E1D2A">
      <w:pPr>
        <w:pStyle w:val="EndnoteText"/>
        <w:rPr>
          <w:rFonts w:ascii="Arial" w:hAnsi="Arial" w:cs="Arial"/>
        </w:rPr>
      </w:pPr>
    </w:p>
    <w:p w14:paraId="3B8BEABA" w14:textId="03241D3C" w:rsidR="00873B7F" w:rsidRPr="0076474B" w:rsidRDefault="00873B7F" w:rsidP="003E1D2A">
      <w:pPr>
        <w:pStyle w:val="EndnoteText"/>
        <w:rPr>
          <w:rFonts w:ascii="Arial" w:hAnsi="Arial" w:cs="Arial"/>
        </w:rPr>
      </w:pPr>
      <w:r w:rsidRPr="0076474B">
        <w:rPr>
          <w:rStyle w:val="EndnoteReference"/>
          <w:rFonts w:ascii="Arial" w:hAnsi="Arial" w:cs="Arial"/>
        </w:rPr>
        <w:endnoteRef/>
      </w:r>
      <w:r w:rsidRPr="0076474B">
        <w:rPr>
          <w:rFonts w:ascii="Arial" w:hAnsi="Arial" w:cs="Arial"/>
        </w:rPr>
        <w:t xml:space="preserve"> </w:t>
      </w:r>
      <w:hyperlink r:id="rId4" w:history="1">
        <w:r w:rsidRPr="00215B94">
          <w:rPr>
            <w:rStyle w:val="Hyperlink"/>
            <w:rFonts w:ascii="Arial" w:hAnsi="Arial" w:cs="Arial"/>
          </w:rPr>
          <w:t>https://www.designlights.org/default/assets/File/Workplan/DLC_Technical-Requirements-Table-V4-4.pdf</w:t>
        </w:r>
      </w:hyperlink>
      <w:r>
        <w:rPr>
          <w:rFonts w:ascii="Arial" w:hAnsi="Arial" w:cs="Arial"/>
        </w:rPr>
        <w:t xml:space="preserve"> </w:t>
      </w:r>
      <w:hyperlink r:id="rId5" w:history="1"/>
    </w:p>
    <w:p w14:paraId="21EF4478" w14:textId="77777777" w:rsidR="00873B7F" w:rsidRPr="0076474B" w:rsidRDefault="00873B7F" w:rsidP="003E1D2A">
      <w:pPr>
        <w:pStyle w:val="EndnoteText"/>
        <w:rPr>
          <w:rFonts w:ascii="Arial" w:hAnsi="Arial" w:cs="Arial"/>
        </w:rPr>
      </w:pPr>
    </w:p>
  </w:endnote>
  <w:endnote w:id="7">
    <w:p w14:paraId="27704474" w14:textId="585D15F5" w:rsidR="00873B7F" w:rsidRPr="0076474B" w:rsidRDefault="00873B7F">
      <w:pPr>
        <w:pStyle w:val="EndnoteText"/>
        <w:rPr>
          <w:rFonts w:ascii="Arial" w:hAnsi="Arial"/>
        </w:rPr>
      </w:pPr>
      <w:r w:rsidRPr="0076474B">
        <w:rPr>
          <w:rStyle w:val="EndnoteReference"/>
          <w:rFonts w:ascii="Arial" w:hAnsi="Arial"/>
        </w:rPr>
        <w:endnoteRef/>
      </w:r>
      <w:r w:rsidRPr="0076474B">
        <w:rPr>
          <w:rFonts w:ascii="Arial" w:hAnsi="Arial"/>
        </w:rPr>
        <w:t xml:space="preserve"> </w:t>
      </w:r>
      <w:proofErr w:type="spellStart"/>
      <w:proofErr w:type="gramStart"/>
      <w:r w:rsidRPr="0076474B">
        <w:rPr>
          <w:rFonts w:ascii="Arial" w:hAnsi="Arial"/>
        </w:rPr>
        <w:t>CALiPER</w:t>
      </w:r>
      <w:proofErr w:type="spellEnd"/>
      <w:r w:rsidRPr="0076474B">
        <w:rPr>
          <w:rFonts w:ascii="Arial" w:hAnsi="Arial"/>
        </w:rPr>
        <w:t xml:space="preserve"> Snapshot Industrial Luminaires.</w:t>
      </w:r>
      <w:proofErr w:type="gramEnd"/>
      <w:r w:rsidRPr="0076474B">
        <w:rPr>
          <w:rFonts w:ascii="Arial" w:hAnsi="Arial"/>
        </w:rPr>
        <w:t xml:space="preserve">  </w:t>
      </w:r>
      <w:proofErr w:type="gramStart"/>
      <w:r w:rsidRPr="0076474B">
        <w:rPr>
          <w:rFonts w:ascii="Arial" w:hAnsi="Arial"/>
        </w:rPr>
        <w:t>DOE.</w:t>
      </w:r>
      <w:proofErr w:type="gramEnd"/>
      <w:r w:rsidRPr="0076474B">
        <w:rPr>
          <w:rFonts w:ascii="Arial" w:hAnsi="Arial"/>
        </w:rPr>
        <w:t xml:space="preserve">  March 13, 2017. </w:t>
      </w:r>
      <w:hyperlink r:id="rId6" w:history="1">
        <w:r w:rsidRPr="0076474B">
          <w:rPr>
            <w:rStyle w:val="Hyperlink"/>
            <w:rFonts w:ascii="Arial" w:hAnsi="Arial"/>
          </w:rPr>
          <w:t>https://www.energy.gov/sites/prod/files/2017/04/f34/snapshot2017_industrial.pdf</w:t>
        </w:r>
      </w:hyperlink>
    </w:p>
    <w:p w14:paraId="086A3716" w14:textId="77777777" w:rsidR="00873B7F" w:rsidRPr="0076474B" w:rsidRDefault="00873B7F">
      <w:pPr>
        <w:pStyle w:val="EndnoteText"/>
        <w:rPr>
          <w:rFonts w:ascii="Arial" w:hAnsi="Arial"/>
        </w:rPr>
      </w:pPr>
    </w:p>
  </w:endnote>
  <w:endnote w:id="8">
    <w:p w14:paraId="0DEA2257" w14:textId="1799B87D" w:rsidR="00873B7F" w:rsidRPr="0076474B" w:rsidRDefault="00873B7F" w:rsidP="00FA5F99">
      <w:pPr>
        <w:pStyle w:val="EndnoteText"/>
        <w:rPr>
          <w:rFonts w:ascii="Arial" w:hAnsi="Arial" w:cs="Arial"/>
        </w:rPr>
      </w:pPr>
      <w:r w:rsidRPr="0076474B">
        <w:rPr>
          <w:rStyle w:val="EndnoteReference"/>
          <w:rFonts w:ascii="Arial" w:hAnsi="Arial" w:cs="Arial"/>
        </w:rPr>
        <w:endnoteRef/>
      </w:r>
      <w:r w:rsidRPr="0076474B">
        <w:rPr>
          <w:rFonts w:ascii="Arial" w:hAnsi="Arial" w:cs="Arial"/>
        </w:rPr>
        <w:t xml:space="preserve"> </w:t>
      </w:r>
      <w:r w:rsidRPr="0076474B">
        <w:rPr>
          <w:rStyle w:val="EndnoteReference"/>
          <w:rFonts w:ascii="Arial" w:hAnsi="Arial" w:cs="Arial"/>
          <w:vertAlign w:val="baseline"/>
        </w:rPr>
        <w:t xml:space="preserve">The </w:t>
      </w:r>
      <w:r w:rsidRPr="0076474B">
        <w:rPr>
          <w:rFonts w:ascii="Arial" w:hAnsi="Arial" w:cs="Arial"/>
        </w:rPr>
        <w:t xml:space="preserve">table “Measure Application Type” in the Measure Catalog can be found on the </w:t>
      </w:r>
      <w:r w:rsidRPr="0076474B">
        <w:rPr>
          <w:rFonts w:ascii="Arial" w:hAnsi="Arial" w:cs="Arial"/>
          <w:bCs/>
          <w:color w:val="333333"/>
          <w:kern w:val="36"/>
          <w:szCs w:val="22"/>
          <w:lang w:val="en-GB"/>
        </w:rPr>
        <w:t>Database for Energy-Efficient Resources (DEER) website,</w:t>
      </w:r>
      <w:r w:rsidRPr="0076474B">
        <w:rPr>
          <w:rStyle w:val="EndnoteReference"/>
          <w:rFonts w:ascii="Arial" w:hAnsi="Arial" w:cs="Arial"/>
          <w:vertAlign w:val="baseline"/>
        </w:rPr>
        <w:t xml:space="preserve"> </w:t>
      </w:r>
      <w:hyperlink r:id="rId7" w:history="1">
        <w:r w:rsidRPr="0076474B">
          <w:rPr>
            <w:rStyle w:val="Hyperlink"/>
            <w:rFonts w:ascii="Arial" w:hAnsi="Arial" w:cs="Arial"/>
          </w:rPr>
          <w:t>http://www.deeresources.com/</w:t>
        </w:r>
      </w:hyperlink>
    </w:p>
  </w:endnote>
  <w:endnote w:id="9">
    <w:p w14:paraId="05805759" w14:textId="65D92501" w:rsidR="00873B7F" w:rsidRDefault="00873B7F">
      <w:pPr>
        <w:pStyle w:val="EndnoteText"/>
      </w:pPr>
      <w:r>
        <w:rPr>
          <w:rStyle w:val="EndnoteReference"/>
        </w:rPr>
        <w:endnoteRef/>
      </w:r>
      <w:r>
        <w:t xml:space="preserve"> </w:t>
      </w:r>
      <w:hyperlink r:id="rId8" w:history="1">
        <w:r w:rsidRPr="00445DAB">
          <w:rPr>
            <w:rStyle w:val="Hyperlink"/>
          </w:rPr>
          <w:t>http://www.energy.ca.gov/2017publications/CEC-400-2017-002/CEC-400-2017-002.pdf</w:t>
        </w:r>
      </w:hyperlink>
    </w:p>
    <w:p w14:paraId="1E679823" w14:textId="77777777" w:rsidR="00873B7F" w:rsidRDefault="00873B7F">
      <w:pPr>
        <w:pStyle w:val="EndnoteText"/>
      </w:pPr>
    </w:p>
  </w:endnote>
  <w:endnote w:id="10">
    <w:p w14:paraId="51F3C30F" w14:textId="77777777" w:rsidR="00873B7F" w:rsidRPr="0076474B" w:rsidRDefault="00873B7F" w:rsidP="00573FFA">
      <w:pPr>
        <w:rPr>
          <w:rFonts w:ascii="Arial" w:hAnsi="Arial" w:cs="Arial"/>
          <w:sz w:val="20"/>
          <w:szCs w:val="20"/>
        </w:rPr>
      </w:pPr>
      <w:r w:rsidRPr="0076474B">
        <w:rPr>
          <w:rStyle w:val="EndnoteReference"/>
          <w:rFonts w:ascii="Arial" w:hAnsi="Arial"/>
        </w:rPr>
        <w:endnoteRef/>
      </w:r>
      <w:r w:rsidRPr="0076474B">
        <w:rPr>
          <w:rFonts w:ascii="Arial" w:hAnsi="Arial"/>
        </w:rPr>
        <w:t xml:space="preserve"> </w:t>
      </w:r>
      <w:hyperlink r:id="rId9" w:history="1">
        <w:r w:rsidRPr="0076474B">
          <w:rPr>
            <w:rStyle w:val="Hyperlink"/>
            <w:rFonts w:ascii="Arial" w:hAnsi="Arial" w:cs="Arial"/>
            <w:sz w:val="20"/>
            <w:szCs w:val="20"/>
          </w:rPr>
          <w:t>http://www.energy.ca.gov/2015publications/CEC-400-2015-037/CEC-400-2015-037-CMF.pdf</w:t>
        </w:r>
      </w:hyperlink>
    </w:p>
    <w:p w14:paraId="7AAD8CA7" w14:textId="77777777" w:rsidR="00873B7F" w:rsidRPr="0076474B" w:rsidRDefault="00873B7F" w:rsidP="00573FFA">
      <w:pPr>
        <w:pStyle w:val="EndnoteText"/>
        <w:rPr>
          <w:rFonts w:ascii="Arial" w:hAnsi="Arial"/>
        </w:rPr>
      </w:pPr>
    </w:p>
  </w:endnote>
  <w:endnote w:id="11">
    <w:p w14:paraId="31808A26" w14:textId="256898D8" w:rsidR="00873B7F" w:rsidRDefault="00873B7F">
      <w:pPr>
        <w:pStyle w:val="EndnoteText"/>
      </w:pPr>
      <w:r>
        <w:rPr>
          <w:rStyle w:val="EndnoteReference"/>
        </w:rPr>
        <w:endnoteRef/>
      </w:r>
      <w:r>
        <w:t xml:space="preserve"> </w:t>
      </w:r>
      <w:proofErr w:type="gramStart"/>
      <w:r>
        <w:t>Navigant.</w:t>
      </w:r>
      <w:proofErr w:type="gramEnd"/>
      <w:r>
        <w:t xml:space="preserve">  California LED Pricing Analysis – Final Report.  January 2018.</w:t>
      </w:r>
    </w:p>
    <w:p w14:paraId="38BC59D4" w14:textId="1D04940E" w:rsidR="00873B7F" w:rsidRDefault="00873B7F">
      <w:pPr>
        <w:pStyle w:val="EndnoteText"/>
      </w:pPr>
      <w:hyperlink r:id="rId10" w:history="1">
        <w:r w:rsidRPr="00B1051B">
          <w:rPr>
            <w:rStyle w:val="Hyperlink"/>
          </w:rPr>
          <w:t>http://www.calmac.org/publications/LED_Pricing_Analysis_Report_-_Revised_1.19.2018_Final.pdf</w:t>
        </w:r>
      </w:hyperlink>
    </w:p>
    <w:p w14:paraId="6234019F" w14:textId="77777777" w:rsidR="00873B7F" w:rsidRDefault="00873B7F">
      <w:pPr>
        <w:pStyle w:val="EndnoteText"/>
      </w:pPr>
    </w:p>
  </w:endnote>
  <w:endnote w:id="12">
    <w:p w14:paraId="7E3CC036" w14:textId="77777777" w:rsidR="00873B7F" w:rsidRPr="0076474B" w:rsidRDefault="00873B7F" w:rsidP="00F84644">
      <w:pPr>
        <w:pStyle w:val="EndnoteText"/>
        <w:rPr>
          <w:rFonts w:ascii="Arial" w:hAnsi="Arial" w:cs="Arial"/>
        </w:rPr>
      </w:pPr>
      <w:r w:rsidRPr="0076474B">
        <w:rPr>
          <w:rStyle w:val="EndnoteReference"/>
          <w:rFonts w:ascii="Arial" w:hAnsi="Arial" w:cs="Arial"/>
        </w:rPr>
        <w:endnoteRef/>
      </w:r>
      <w:r w:rsidRPr="0076474B">
        <w:rPr>
          <w:rFonts w:ascii="Arial" w:hAnsi="Arial" w:cs="Arial"/>
        </w:rPr>
        <w:t xml:space="preserve"> </w:t>
      </w:r>
      <w:proofErr w:type="gramStart"/>
      <w:r w:rsidRPr="0076474B">
        <w:rPr>
          <w:rFonts w:ascii="Arial" w:hAnsi="Arial" w:cs="Arial"/>
        </w:rPr>
        <w:t>Navigant.</w:t>
      </w:r>
      <w:proofErr w:type="gramEnd"/>
      <w:r w:rsidRPr="0076474B">
        <w:rPr>
          <w:rFonts w:ascii="Arial" w:hAnsi="Arial" w:cs="Arial"/>
        </w:rPr>
        <w:t xml:space="preserve">  California LED Workpaper Update Study – Final Report.  August 28, 2015.  </w:t>
      </w:r>
      <w:hyperlink r:id="rId11" w:history="1">
        <w:r w:rsidRPr="0076474B">
          <w:rPr>
            <w:rStyle w:val="Hyperlink"/>
            <w:rFonts w:ascii="Arial" w:hAnsi="Arial" w:cs="Arial"/>
          </w:rPr>
          <w:t>http://www.calmac.org/publications/LED_Study_Report_FINAL_201510029.pdf</w:t>
        </w:r>
      </w:hyperlink>
    </w:p>
    <w:p w14:paraId="7BA6C336" w14:textId="77777777" w:rsidR="00873B7F" w:rsidRPr="0076474B" w:rsidRDefault="00873B7F" w:rsidP="00F84644">
      <w:pPr>
        <w:pStyle w:val="EndnoteText"/>
        <w:rPr>
          <w:rFonts w:ascii="Arial" w:hAnsi="Arial" w:cs="Arial"/>
        </w:rPr>
      </w:pPr>
    </w:p>
  </w:endnote>
  <w:endnote w:id="13">
    <w:p w14:paraId="618EC35A" w14:textId="77777777" w:rsidR="00873B7F" w:rsidRDefault="00873B7F" w:rsidP="00FC1C58">
      <w:pPr>
        <w:pStyle w:val="EndnoteText"/>
      </w:pPr>
      <w:r>
        <w:rPr>
          <w:rStyle w:val="EndnoteReference"/>
        </w:rPr>
        <w:endnoteRef/>
      </w:r>
      <w:r>
        <w:t xml:space="preserve"> </w:t>
      </w:r>
      <w:proofErr w:type="gramStart"/>
      <w:r>
        <w:t>NEMA Linear lamp index, Q2 2017.</w:t>
      </w:r>
      <w:proofErr w:type="gramEnd"/>
      <w:r>
        <w:t xml:space="preserve">  Accessed at </w:t>
      </w:r>
      <w:hyperlink r:id="rId12" w:history="1">
        <w:r w:rsidRPr="004C4992">
          <w:rPr>
            <w:rStyle w:val="Hyperlink"/>
          </w:rPr>
          <w:t>https://www.nema.org/Intelligence/Indices/Pages/Linear-Fluorescent-Lamp-Indexes-Continue-to-Decline-in-Second-Quarter-2017-while-T-LED-Market-Penetration-Increases.aspx</w:t>
        </w:r>
      </w:hyperlink>
    </w:p>
  </w:endnote>
  <w:endnote w:id="14">
    <w:p w14:paraId="205303F2" w14:textId="77777777" w:rsidR="00873B7F" w:rsidRDefault="00873B7F" w:rsidP="003F7432">
      <w:pPr>
        <w:pStyle w:val="EndnoteText"/>
      </w:pPr>
      <w:r>
        <w:rPr>
          <w:rStyle w:val="EndnoteReference"/>
        </w:rPr>
        <w:endnoteRef/>
      </w:r>
      <w:r>
        <w:t xml:space="preserve"> </w:t>
      </w:r>
      <w:hyperlink r:id="rId13" w:history="1">
        <w:r w:rsidRPr="00AD2B71">
          <w:rPr>
            <w:rStyle w:val="Hyperlink"/>
          </w:rPr>
          <w:t>2016 Non-Residential Lighting Market Characterization, Bonneville Power Administration, July 2017</w:t>
        </w:r>
      </w:hyperlink>
    </w:p>
  </w:endnote>
  <w:endnote w:id="15">
    <w:p w14:paraId="3CE937A6" w14:textId="77777777" w:rsidR="00873B7F" w:rsidRDefault="00873B7F" w:rsidP="00FC1C58">
      <w:pPr>
        <w:pStyle w:val="EndnoteText"/>
      </w:pPr>
      <w:r>
        <w:rPr>
          <w:rStyle w:val="EndnoteReference"/>
        </w:rPr>
        <w:endnoteRef/>
      </w:r>
      <w:r>
        <w:t xml:space="preserve"> </w:t>
      </w:r>
      <w:hyperlink r:id="rId14" w:history="1">
        <w:r w:rsidRPr="00AD2B71">
          <w:rPr>
            <w:rStyle w:val="Hyperlink"/>
          </w:rPr>
          <w:t>2016 Non-Residential Lighting Market Characterization, Bonneville Power Administration, July 2017</w:t>
        </w:r>
      </w:hyperlink>
    </w:p>
  </w:endnote>
  <w:endnote w:id="16">
    <w:p w14:paraId="5A08C0FB" w14:textId="77777777" w:rsidR="00873B7F" w:rsidRDefault="00873B7F" w:rsidP="00FC1C58">
      <w:pPr>
        <w:pStyle w:val="EndnoteText"/>
      </w:pPr>
      <w:r>
        <w:rPr>
          <w:rStyle w:val="EndnoteReference"/>
        </w:rPr>
        <w:endnoteRef/>
      </w:r>
      <w:r>
        <w:t xml:space="preserve"> Meeting Notes_04042018_CS EAR and </w:t>
      </w:r>
      <w:proofErr w:type="spellStart"/>
      <w:r>
        <w:t>PGE_Lighting</w:t>
      </w:r>
      <w:proofErr w:type="spellEnd"/>
      <w:r>
        <w:t xml:space="preserve"> </w:t>
      </w:r>
      <w:proofErr w:type="spellStart"/>
      <w:r>
        <w:t>Workpapers</w:t>
      </w:r>
      <w:proofErr w:type="spellEnd"/>
      <w:r>
        <w:t xml:space="preserve"> Status Update &amp; Meeting Notes_04052018_CS EAR and </w:t>
      </w:r>
      <w:proofErr w:type="spellStart"/>
      <w:r>
        <w:t>PGE_Lighting</w:t>
      </w:r>
      <w:proofErr w:type="spellEnd"/>
      <w:r>
        <w:t xml:space="preserve"> </w:t>
      </w:r>
      <w:proofErr w:type="spellStart"/>
      <w:r>
        <w:t>Workpapers</w:t>
      </w:r>
      <w:proofErr w:type="spellEnd"/>
      <w:r>
        <w:t xml:space="preserve"> Status Update</w:t>
      </w:r>
    </w:p>
  </w:endnote>
  <w:endnote w:id="17">
    <w:p w14:paraId="1CE049AF" w14:textId="77777777" w:rsidR="00873B7F" w:rsidRDefault="00873B7F" w:rsidP="00FC1C58">
      <w:pPr>
        <w:pStyle w:val="EndnoteText"/>
      </w:pPr>
      <w:r>
        <w:rPr>
          <w:rStyle w:val="EndnoteReference"/>
        </w:rPr>
        <w:endnoteRef/>
      </w:r>
      <w:r>
        <w:t xml:space="preserve"> Meeting Notes_04042018_CS EAR and </w:t>
      </w:r>
      <w:proofErr w:type="spellStart"/>
      <w:r>
        <w:t>PGE_Lighting</w:t>
      </w:r>
      <w:proofErr w:type="spellEnd"/>
      <w:r>
        <w:t xml:space="preserve"> </w:t>
      </w:r>
      <w:proofErr w:type="spellStart"/>
      <w:r>
        <w:t>Workpapers</w:t>
      </w:r>
      <w:proofErr w:type="spellEnd"/>
      <w:r>
        <w:t xml:space="preserve"> Status Update &amp; Meeting Notes_04052018_CS EAR and </w:t>
      </w:r>
      <w:proofErr w:type="spellStart"/>
      <w:r>
        <w:t>PGE_Lighting</w:t>
      </w:r>
      <w:proofErr w:type="spellEnd"/>
      <w:r>
        <w:t xml:space="preserve"> </w:t>
      </w:r>
      <w:proofErr w:type="spellStart"/>
      <w:r>
        <w:t>Workpapers</w:t>
      </w:r>
      <w:proofErr w:type="spellEnd"/>
      <w:r>
        <w:t xml:space="preserve"> Status Update</w:t>
      </w:r>
    </w:p>
  </w:endnote>
  <w:endnote w:id="18">
    <w:p w14:paraId="78762D5B" w14:textId="77777777" w:rsidR="00873B7F" w:rsidRDefault="00873B7F" w:rsidP="00FC1C58">
      <w:pPr>
        <w:pStyle w:val="EndnoteText"/>
      </w:pPr>
      <w:r>
        <w:rPr>
          <w:rStyle w:val="EndnoteReference"/>
        </w:rPr>
        <w:endnoteRef/>
      </w:r>
      <w:r>
        <w:t xml:space="preserve"> </w:t>
      </w:r>
      <w:proofErr w:type="spellStart"/>
      <w:r>
        <w:t>CALiPER</w:t>
      </w:r>
      <w:proofErr w:type="spellEnd"/>
      <w:r>
        <w:t xml:space="preserve"> Snapshot Report Linear Lamps (TLEDs), June 17, 2017. Accessed at </w:t>
      </w:r>
      <w:hyperlink r:id="rId15" w:history="1">
        <w:r w:rsidRPr="00C91A4B">
          <w:rPr>
            <w:rStyle w:val="Hyperlink"/>
          </w:rPr>
          <w:t>https://www.energy.gov/sites/prod/files/2016/07/f33/snapshot2016_tleds.pdf</w:t>
        </w:r>
      </w:hyperlink>
      <w:r>
        <w:t xml:space="preserve"> </w:t>
      </w:r>
    </w:p>
  </w:endnote>
  <w:endnote w:id="19">
    <w:p w14:paraId="5A7B87F7" w14:textId="77777777" w:rsidR="00873B7F" w:rsidRPr="0076474B" w:rsidRDefault="00873B7F" w:rsidP="000D4559">
      <w:pPr>
        <w:pStyle w:val="EndnoteText"/>
        <w:rPr>
          <w:rFonts w:ascii="Arial" w:hAnsi="Arial" w:cs="Arial"/>
        </w:rPr>
      </w:pPr>
    </w:p>
    <w:p w14:paraId="501BE473" w14:textId="77777777" w:rsidR="00873B7F" w:rsidRPr="0076474B" w:rsidRDefault="00873B7F" w:rsidP="000D4559">
      <w:pPr>
        <w:pStyle w:val="EndnoteText"/>
        <w:rPr>
          <w:rFonts w:ascii="Arial" w:hAnsi="Arial"/>
        </w:rPr>
      </w:pPr>
      <w:r w:rsidRPr="0076474B">
        <w:rPr>
          <w:rStyle w:val="EndnoteReference"/>
          <w:rFonts w:ascii="Arial" w:hAnsi="Arial"/>
        </w:rPr>
        <w:endnoteRef/>
      </w:r>
      <w:proofErr w:type="spellStart"/>
      <w:r w:rsidRPr="0076474B">
        <w:rPr>
          <w:rFonts w:ascii="Arial" w:hAnsi="Arial" w:cs="Arial"/>
        </w:rPr>
        <w:t>CALiPER</w:t>
      </w:r>
      <w:proofErr w:type="spellEnd"/>
      <w:r w:rsidRPr="0076474B">
        <w:rPr>
          <w:rFonts w:ascii="Arial" w:hAnsi="Arial" w:cs="Arial"/>
        </w:rPr>
        <w:t xml:space="preserve"> Summary Report Round 13. </w:t>
      </w:r>
      <w:proofErr w:type="gramStart"/>
      <w:r w:rsidRPr="0076474B">
        <w:rPr>
          <w:rFonts w:ascii="Arial" w:hAnsi="Arial" w:cs="Arial"/>
        </w:rPr>
        <w:t>DOE.</w:t>
      </w:r>
      <w:proofErr w:type="gramEnd"/>
      <w:r w:rsidRPr="0076474B">
        <w:rPr>
          <w:rFonts w:ascii="Arial" w:hAnsi="Arial" w:cs="Arial"/>
        </w:rPr>
        <w:t xml:space="preserve"> October 2011.</w:t>
      </w:r>
      <w:r w:rsidRPr="0076474B">
        <w:rPr>
          <w:rFonts w:ascii="Arial" w:hAnsi="Arial"/>
        </w:rPr>
        <w:t xml:space="preserve"> </w:t>
      </w:r>
      <w:hyperlink r:id="rId16" w:history="1">
        <w:r w:rsidRPr="007E5321">
          <w:rPr>
            <w:rStyle w:val="Hyperlink"/>
            <w:rFonts w:ascii="Arial" w:hAnsi="Arial"/>
          </w:rPr>
          <w:t>https://www.energy.gov/eere/ssl/caliper-report-archives</w:t>
        </w:r>
      </w:hyperlink>
      <w:r>
        <w:rPr>
          <w:rFonts w:ascii="Arial" w:hAnsi="Arial"/>
        </w:rPr>
        <w:t xml:space="preserve"> </w:t>
      </w:r>
    </w:p>
    <w:p w14:paraId="5917E1D3" w14:textId="77777777" w:rsidR="00873B7F" w:rsidRPr="0076474B" w:rsidRDefault="00873B7F" w:rsidP="000D4559">
      <w:pPr>
        <w:pStyle w:val="EndnoteText"/>
        <w:rPr>
          <w:rFonts w:ascii="Arial" w:hAnsi="Arial"/>
        </w:rPr>
      </w:pPr>
    </w:p>
  </w:endnote>
  <w:endnote w:id="20">
    <w:p w14:paraId="6F159173" w14:textId="77777777" w:rsidR="00873B7F" w:rsidRPr="00E07918" w:rsidRDefault="00873B7F" w:rsidP="0049120B">
      <w:pPr>
        <w:pStyle w:val="EndnoteText"/>
        <w:rPr>
          <w:rFonts w:ascii="Arial" w:hAnsi="Arial" w:cs="Arial"/>
        </w:rPr>
      </w:pPr>
      <w:r w:rsidRPr="0076474B">
        <w:rPr>
          <w:rStyle w:val="EndnoteReference"/>
          <w:rFonts w:ascii="Arial" w:hAnsi="Arial" w:cs="Arial"/>
        </w:rPr>
        <w:endnoteRef/>
      </w:r>
      <w:r w:rsidRPr="0076474B">
        <w:rPr>
          <w:rFonts w:ascii="Arial" w:hAnsi="Arial" w:cs="Arial"/>
        </w:rPr>
        <w:t xml:space="preserve"> 2010-2012 WO017 </w:t>
      </w:r>
      <w:proofErr w:type="gramStart"/>
      <w:r w:rsidRPr="0076474B">
        <w:rPr>
          <w:rFonts w:ascii="Arial" w:hAnsi="Arial" w:cs="Arial"/>
        </w:rPr>
        <w:t>Ex</w:t>
      </w:r>
      <w:proofErr w:type="gramEnd"/>
      <w:r w:rsidRPr="0076474B">
        <w:rPr>
          <w:rFonts w:ascii="Arial" w:hAnsi="Arial" w:cs="Arial"/>
        </w:rPr>
        <w:t xml:space="preserve"> Ante Measure Cost Study Final Report.  </w:t>
      </w:r>
      <w:proofErr w:type="gramStart"/>
      <w:r w:rsidRPr="0076474B">
        <w:rPr>
          <w:rFonts w:ascii="Arial" w:hAnsi="Arial" w:cs="Arial"/>
        </w:rPr>
        <w:t xml:space="preserve">Submitted by:  </w:t>
      </w:r>
      <w:proofErr w:type="spellStart"/>
      <w:r w:rsidRPr="0076474B">
        <w:rPr>
          <w:rFonts w:ascii="Arial" w:hAnsi="Arial" w:cs="Arial"/>
        </w:rPr>
        <w:t>Itron</w:t>
      </w:r>
      <w:proofErr w:type="spellEnd"/>
      <w:r w:rsidRPr="0076474B">
        <w:rPr>
          <w:rFonts w:ascii="Arial" w:hAnsi="Arial" w:cs="Arial"/>
        </w:rPr>
        <w:t>, Inc.</w:t>
      </w:r>
      <w:proofErr w:type="gramEnd"/>
      <w:r w:rsidRPr="0076474B">
        <w:rPr>
          <w:rFonts w:ascii="Arial" w:hAnsi="Arial" w:cs="Arial"/>
        </w:rPr>
        <w:t xml:space="preserve">  May 27, 2014.  Table 4-6. Page 4-12. </w:t>
      </w:r>
      <w:proofErr w:type="gramStart"/>
      <w:r w:rsidRPr="0076474B">
        <w:rPr>
          <w:rFonts w:ascii="Arial" w:hAnsi="Arial" w:cs="Arial"/>
          <w:i/>
        </w:rPr>
        <w:t>HID to T5 Fixtures high bay, lift accessible.</w:t>
      </w:r>
      <w:proofErr w:type="gramEnd"/>
    </w:p>
  </w:endnote>
  <w:endnote w:id="21">
    <w:p w14:paraId="2418FB0E" w14:textId="77777777" w:rsidR="00873B7F" w:rsidRPr="00E07918" w:rsidRDefault="00873B7F" w:rsidP="00CF0447">
      <w:pPr>
        <w:pStyle w:val="EndnoteText"/>
        <w:rPr>
          <w:rFonts w:ascii="Arial" w:hAnsi="Arial" w:cs="Arial"/>
        </w:rPr>
      </w:pPr>
      <w:r w:rsidRPr="0076474B">
        <w:rPr>
          <w:rStyle w:val="EndnoteReference"/>
          <w:rFonts w:ascii="Arial" w:hAnsi="Arial" w:cs="Arial"/>
        </w:rPr>
        <w:endnoteRef/>
      </w:r>
      <w:r w:rsidRPr="0076474B">
        <w:rPr>
          <w:rFonts w:ascii="Arial" w:hAnsi="Arial" w:cs="Arial"/>
        </w:rPr>
        <w:t xml:space="preserve"> 2010-2012 WO017 </w:t>
      </w:r>
      <w:proofErr w:type="gramStart"/>
      <w:r w:rsidRPr="0076474B">
        <w:rPr>
          <w:rFonts w:ascii="Arial" w:hAnsi="Arial" w:cs="Arial"/>
        </w:rPr>
        <w:t>Ex</w:t>
      </w:r>
      <w:proofErr w:type="gramEnd"/>
      <w:r w:rsidRPr="0076474B">
        <w:rPr>
          <w:rFonts w:ascii="Arial" w:hAnsi="Arial" w:cs="Arial"/>
        </w:rPr>
        <w:t xml:space="preserve"> Ante Measure Cost Study Final Report.  </w:t>
      </w:r>
      <w:proofErr w:type="gramStart"/>
      <w:r w:rsidRPr="0076474B">
        <w:rPr>
          <w:rFonts w:ascii="Arial" w:hAnsi="Arial" w:cs="Arial"/>
        </w:rPr>
        <w:t xml:space="preserve">Submitted by:  </w:t>
      </w:r>
      <w:proofErr w:type="spellStart"/>
      <w:r w:rsidRPr="0076474B">
        <w:rPr>
          <w:rFonts w:ascii="Arial" w:hAnsi="Arial" w:cs="Arial"/>
        </w:rPr>
        <w:t>Itron</w:t>
      </w:r>
      <w:proofErr w:type="spellEnd"/>
      <w:r w:rsidRPr="0076474B">
        <w:rPr>
          <w:rFonts w:ascii="Arial" w:hAnsi="Arial" w:cs="Arial"/>
        </w:rPr>
        <w:t>, Inc.</w:t>
      </w:r>
      <w:proofErr w:type="gramEnd"/>
      <w:r w:rsidRPr="0076474B">
        <w:rPr>
          <w:rFonts w:ascii="Arial" w:hAnsi="Arial" w:cs="Arial"/>
        </w:rPr>
        <w:t xml:space="preserve">  May 27, 2014.  Table 4-6. Page 4-12. </w:t>
      </w:r>
      <w:proofErr w:type="gramStart"/>
      <w:r w:rsidRPr="0076474B">
        <w:rPr>
          <w:rFonts w:ascii="Arial" w:hAnsi="Arial" w:cs="Arial"/>
          <w:i/>
        </w:rPr>
        <w:t>HID to T5 Fixtures high bay, lift accessible.</w:t>
      </w:r>
      <w:proofErr w:type="gramEnd"/>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0AA2F5" w14:textId="77777777" w:rsidR="00873B7F" w:rsidRDefault="00873B7F"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31A63BA" w14:textId="77777777" w:rsidR="00873B7F" w:rsidRDefault="00873B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A9CDA" w14:textId="21F894AB" w:rsidR="00873B7F" w:rsidRPr="00846195" w:rsidRDefault="00873B7F"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2803E7">
      <w:rPr>
        <w:rStyle w:val="PageNumber"/>
        <w:b/>
        <w:noProof/>
        <w:sz w:val="20"/>
        <w:szCs w:val="20"/>
      </w:rPr>
      <w:t>ii</w:t>
    </w:r>
    <w:r w:rsidRPr="00846195">
      <w:rPr>
        <w:rStyle w:val="PageNumber"/>
        <w:b/>
        <w:sz w:val="20"/>
        <w:szCs w:val="20"/>
      </w:rPr>
      <w:fldChar w:fldCharType="end"/>
    </w:r>
  </w:p>
  <w:p w14:paraId="1FE04E8F" w14:textId="2FC904F0" w:rsidR="00873B7F" w:rsidRDefault="00873B7F" w:rsidP="00D7047A">
    <w:pPr>
      <w:pStyle w:val="Footer"/>
      <w:pBdr>
        <w:top w:val="single" w:sz="4" w:space="1" w:color="auto"/>
      </w:pBdr>
      <w:tabs>
        <w:tab w:val="clear" w:pos="8640"/>
        <w:tab w:val="right" w:pos="9360"/>
      </w:tabs>
      <w:rPr>
        <w:b/>
        <w:sz w:val="20"/>
        <w:szCs w:val="20"/>
      </w:rPr>
    </w:pPr>
    <w:r>
      <w:rPr>
        <w:b/>
        <w:color w:val="FF0000"/>
        <w:sz w:val="20"/>
        <w:szCs w:val="20"/>
      </w:rPr>
      <w:tab/>
    </w:r>
    <w:r>
      <w:rPr>
        <w:b/>
        <w:sz w:val="20"/>
        <w:szCs w:val="20"/>
      </w:rPr>
      <w:tab/>
      <w:t>3/1/2019</w:t>
    </w:r>
  </w:p>
  <w:p w14:paraId="7B3284FC" w14:textId="77777777" w:rsidR="00873B7F" w:rsidRDefault="00873B7F" w:rsidP="00D7047A">
    <w:pPr>
      <w:pStyle w:val="Footer"/>
      <w:rPr>
        <w:b/>
        <w:sz w:val="20"/>
        <w:szCs w:val="20"/>
      </w:rPr>
    </w:pPr>
    <w:r>
      <w:rPr>
        <w:b/>
        <w:sz w:val="20"/>
        <w:szCs w:val="20"/>
      </w:rPr>
      <w:t>Pacific Gas &amp; Electric Company</w:t>
    </w:r>
  </w:p>
  <w:p w14:paraId="5C24AADC" w14:textId="2A1D7A51" w:rsidR="00873B7F" w:rsidRPr="00893A0F" w:rsidRDefault="00873B7F" w:rsidP="00D7047A">
    <w:pPr>
      <w:pStyle w:val="Footer"/>
      <w:rPr>
        <w:b/>
        <w:sz w:val="20"/>
        <w:szCs w:val="20"/>
      </w:rPr>
    </w:pPr>
    <w:r w:rsidRPr="00893A0F">
      <w:rPr>
        <w:noProof/>
        <w:sz w:val="20"/>
        <w:szCs w:val="20"/>
      </w:rPr>
      <w:t>PGECOLTG</w:t>
    </w:r>
    <w:r>
      <w:rPr>
        <w:noProof/>
        <w:sz w:val="20"/>
        <w:szCs w:val="20"/>
      </w:rPr>
      <w:t>178 R4</w:t>
    </w:r>
    <w:r w:rsidRPr="00893A0F">
      <w:rPr>
        <w:noProof/>
        <w:sz w:val="20"/>
        <w:szCs w:val="20"/>
      </w:rPr>
      <w:t xml:space="preserve"> LED</w:t>
    </w:r>
    <w:r>
      <w:rPr>
        <w:noProof/>
        <w:sz w:val="20"/>
        <w:szCs w:val="20"/>
      </w:rPr>
      <w:t xml:space="preserve"> Highbay &amp; Lowbay Fixtures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54D4E" w14:textId="368E1D0F" w:rsidR="00873B7F" w:rsidRPr="002E0E3F" w:rsidRDefault="00873B7F" w:rsidP="00D7047A">
    <w:pPr>
      <w:pStyle w:val="Footer"/>
      <w:jc w:val="right"/>
      <w:rPr>
        <w:rFonts w:ascii="Arial" w:hAnsi="Arial" w:cs="Arial"/>
        <w:b/>
        <w:sz w:val="36"/>
        <w:szCs w:val="36"/>
      </w:rPr>
    </w:pPr>
    <w:r>
      <w:rPr>
        <w:rFonts w:ascii="Arial" w:hAnsi="Arial" w:cs="Arial"/>
        <w:b/>
        <w:sz w:val="36"/>
        <w:szCs w:val="36"/>
      </w:rPr>
      <w:t>3/1/2019</w:t>
    </w:r>
  </w:p>
  <w:p w14:paraId="7CB3595D" w14:textId="77777777" w:rsidR="00873B7F" w:rsidRDefault="00873B7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2F707" w14:textId="02B2E273" w:rsidR="00873B7F" w:rsidRDefault="00873B7F" w:rsidP="009004FA">
    <w:pPr>
      <w:pStyle w:val="Footer"/>
      <w:pBdr>
        <w:top w:val="single" w:sz="4" w:space="1" w:color="auto"/>
      </w:pBdr>
      <w:tabs>
        <w:tab w:val="clear" w:pos="8640"/>
        <w:tab w:val="right" w:pos="9360"/>
      </w:tabs>
      <w:rPr>
        <w:b/>
        <w:sz w:val="20"/>
        <w:szCs w:val="20"/>
      </w:rPr>
    </w:pPr>
    <w:r>
      <w:rPr>
        <w:b/>
        <w:color w:val="FF0000"/>
        <w:sz w:val="20"/>
        <w:szCs w:val="20"/>
      </w:rPr>
      <w:tab/>
    </w:r>
    <w:r>
      <w:rPr>
        <w:b/>
        <w:sz w:val="20"/>
        <w:szCs w:val="20"/>
      </w:rPr>
      <w:tab/>
      <w:t>3/1/2019</w:t>
    </w:r>
  </w:p>
  <w:p w14:paraId="0A3B953F" w14:textId="26501553" w:rsidR="00873B7F" w:rsidRDefault="00873B7F" w:rsidP="005C6CB5">
    <w:pPr>
      <w:pStyle w:val="Footer"/>
      <w:tabs>
        <w:tab w:val="clear" w:pos="4320"/>
        <w:tab w:val="clear" w:pos="8640"/>
        <w:tab w:val="left" w:pos="8620"/>
      </w:tabs>
      <w:rPr>
        <w:b/>
        <w:sz w:val="20"/>
        <w:szCs w:val="20"/>
      </w:rPr>
    </w:pPr>
    <w:r>
      <w:rPr>
        <w:b/>
        <w:sz w:val="20"/>
        <w:szCs w:val="20"/>
      </w:rPr>
      <w:t>Pacific Gas &amp; Electric Company</w:t>
    </w:r>
    <w:r>
      <w:rPr>
        <w:b/>
        <w:sz w:val="20"/>
        <w:szCs w:val="20"/>
      </w:rPr>
      <w:tab/>
    </w:r>
  </w:p>
  <w:p w14:paraId="2AD9533A" w14:textId="7A857A46" w:rsidR="00873B7F" w:rsidRPr="00893A0F" w:rsidRDefault="00873B7F" w:rsidP="009004FA">
    <w:pPr>
      <w:pStyle w:val="Footer"/>
      <w:rPr>
        <w:b/>
        <w:sz w:val="20"/>
        <w:szCs w:val="20"/>
      </w:rPr>
    </w:pPr>
    <w:r w:rsidRPr="00893A0F">
      <w:rPr>
        <w:noProof/>
        <w:sz w:val="20"/>
        <w:szCs w:val="20"/>
      </w:rPr>
      <w:t>PGECOLTG</w:t>
    </w:r>
    <w:r>
      <w:rPr>
        <w:noProof/>
        <w:sz w:val="20"/>
        <w:szCs w:val="20"/>
      </w:rPr>
      <w:t>178 R4</w:t>
    </w:r>
    <w:r w:rsidRPr="00893A0F">
      <w:rPr>
        <w:noProof/>
        <w:sz w:val="20"/>
        <w:szCs w:val="20"/>
      </w:rPr>
      <w:t xml:space="preserve"> LED</w:t>
    </w:r>
    <w:r>
      <w:rPr>
        <w:noProof/>
        <w:sz w:val="20"/>
        <w:szCs w:val="20"/>
      </w:rPr>
      <w:t xml:space="preserve"> Highbay and Lowbay Fixtures</w:t>
    </w:r>
  </w:p>
  <w:p w14:paraId="68FB4A4D" w14:textId="17847474" w:rsidR="00873B7F" w:rsidRDefault="00873B7F">
    <w:pPr>
      <w:pStyle w:val="Footer"/>
      <w:jc w:val="center"/>
    </w:pPr>
    <w:r>
      <w:fldChar w:fldCharType="begin"/>
    </w:r>
    <w:r>
      <w:instrText xml:space="preserve"> PAGE   \* MERGEFORMAT </w:instrText>
    </w:r>
    <w:r>
      <w:fldChar w:fldCharType="separate"/>
    </w:r>
    <w:r w:rsidR="002803E7">
      <w:rPr>
        <w:noProof/>
      </w:rPr>
      <w:t>2</w:t>
    </w:r>
    <w:r>
      <w:rPr>
        <w:noProof/>
      </w:rPr>
      <w:fldChar w:fldCharType="end"/>
    </w:r>
  </w:p>
  <w:p w14:paraId="16AD832E" w14:textId="411DBE45" w:rsidR="00873B7F" w:rsidRPr="00893A0F" w:rsidRDefault="00873B7F" w:rsidP="00D7047A">
    <w:pPr>
      <w:pStyle w:val="Footer"/>
      <w:rPr>
        <w:b/>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34A50A" w14:textId="77777777" w:rsidR="0049074B" w:rsidRDefault="0049074B">
      <w:r>
        <w:separator/>
      </w:r>
    </w:p>
  </w:footnote>
  <w:footnote w:type="continuationSeparator" w:id="0">
    <w:p w14:paraId="5EE20564" w14:textId="77777777" w:rsidR="0049074B" w:rsidRDefault="0049074B">
      <w:r>
        <w:continuationSeparator/>
      </w:r>
    </w:p>
  </w:footnote>
  <w:footnote w:type="continuationNotice" w:id="1">
    <w:p w14:paraId="2DA51399" w14:textId="77777777" w:rsidR="0049074B" w:rsidRDefault="0049074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0A621E" w14:textId="77777777" w:rsidR="00873B7F" w:rsidRDefault="00873B7F" w:rsidP="001A573F">
    <w:pPr>
      <w:pStyle w:val="Header"/>
      <w:jc w:val="right"/>
    </w:pPr>
  </w:p>
  <w:p w14:paraId="4862F3A3" w14:textId="77777777" w:rsidR="00873B7F" w:rsidRDefault="00873B7F" w:rsidP="001A573F">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9CA80" w14:textId="77777777" w:rsidR="00873B7F" w:rsidRDefault="00873B7F" w:rsidP="001A573F">
    <w:pPr>
      <w:pStyle w:val="Header"/>
      <w:jc w:val="right"/>
    </w:pPr>
  </w:p>
  <w:p w14:paraId="34FA865D" w14:textId="77777777" w:rsidR="00873B7F" w:rsidRDefault="00873B7F" w:rsidP="001A57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06319"/>
    <w:multiLevelType w:val="hybridMultilevel"/>
    <w:tmpl w:val="DE12D1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BD92849"/>
    <w:multiLevelType w:val="hybridMultilevel"/>
    <w:tmpl w:val="83889CE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75917"/>
    <w:multiLevelType w:val="hybridMultilevel"/>
    <w:tmpl w:val="15780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533EF6"/>
    <w:multiLevelType w:val="hybridMultilevel"/>
    <w:tmpl w:val="65D64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636F8F"/>
    <w:multiLevelType w:val="hybridMultilevel"/>
    <w:tmpl w:val="40F46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B90237"/>
    <w:multiLevelType w:val="hybridMultilevel"/>
    <w:tmpl w:val="67C8E7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37F0880"/>
    <w:multiLevelType w:val="hybridMultilevel"/>
    <w:tmpl w:val="A864AF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BF34593"/>
    <w:multiLevelType w:val="hybridMultilevel"/>
    <w:tmpl w:val="FC609F1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AD61F3"/>
    <w:multiLevelType w:val="hybridMultilevel"/>
    <w:tmpl w:val="CF906D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
    <w:nsid w:val="33DB03AC"/>
    <w:multiLevelType w:val="hybridMultilevel"/>
    <w:tmpl w:val="2130B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E1771D"/>
    <w:multiLevelType w:val="hybridMultilevel"/>
    <w:tmpl w:val="B47EE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F607E1"/>
    <w:multiLevelType w:val="hybridMultilevel"/>
    <w:tmpl w:val="5F2EC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B394799"/>
    <w:multiLevelType w:val="hybridMultilevel"/>
    <w:tmpl w:val="7A7A2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8302EC"/>
    <w:multiLevelType w:val="hybridMultilevel"/>
    <w:tmpl w:val="7A7A2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CF77D1"/>
    <w:multiLevelType w:val="hybridMultilevel"/>
    <w:tmpl w:val="67C8E7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FA1BF9"/>
    <w:multiLevelType w:val="hybridMultilevel"/>
    <w:tmpl w:val="CC5692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FA04CF"/>
    <w:multiLevelType w:val="hybridMultilevel"/>
    <w:tmpl w:val="268296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C39610D"/>
    <w:multiLevelType w:val="hybridMultilevel"/>
    <w:tmpl w:val="FE025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9058EB"/>
    <w:multiLevelType w:val="hybridMultilevel"/>
    <w:tmpl w:val="93A241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5080BEAC">
      <w:start w:val="1"/>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DB3F15"/>
    <w:multiLevelType w:val="multilevel"/>
    <w:tmpl w:val="E81644B6"/>
    <w:lvl w:ilvl="0">
      <w:start w:val="1"/>
      <w:numFmt w:val="decimal"/>
      <w:lvlText w:val="%1."/>
      <w:lvlJc w:val="left"/>
      <w:pPr>
        <w:ind w:left="720" w:hanging="360"/>
      </w:pPr>
    </w:lvl>
    <w:lvl w:ilvl="1">
      <w:start w:val="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6C05C0D"/>
    <w:multiLevelType w:val="hybridMultilevel"/>
    <w:tmpl w:val="67C8E7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3D7ECF"/>
    <w:multiLevelType w:val="multilevel"/>
    <w:tmpl w:val="2C6EEF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598749AF"/>
    <w:multiLevelType w:val="hybridMultilevel"/>
    <w:tmpl w:val="315CFF12"/>
    <w:lvl w:ilvl="0" w:tplc="4BAEBF72">
      <w:start w:val="1"/>
      <w:numFmt w:val="bullet"/>
      <w:lvlText w:val="•"/>
      <w:lvlJc w:val="left"/>
      <w:pPr>
        <w:tabs>
          <w:tab w:val="num" w:pos="720"/>
        </w:tabs>
        <w:ind w:left="720" w:hanging="360"/>
      </w:pPr>
      <w:rPr>
        <w:rFonts w:ascii="Times New Roman" w:hAnsi="Times New Roman" w:hint="default"/>
      </w:rPr>
    </w:lvl>
    <w:lvl w:ilvl="1" w:tplc="FB1600FC" w:tentative="1">
      <w:start w:val="1"/>
      <w:numFmt w:val="bullet"/>
      <w:lvlText w:val="•"/>
      <w:lvlJc w:val="left"/>
      <w:pPr>
        <w:tabs>
          <w:tab w:val="num" w:pos="1440"/>
        </w:tabs>
        <w:ind w:left="1440" w:hanging="360"/>
      </w:pPr>
      <w:rPr>
        <w:rFonts w:ascii="Times New Roman" w:hAnsi="Times New Roman" w:hint="default"/>
      </w:rPr>
    </w:lvl>
    <w:lvl w:ilvl="2" w:tplc="1CFA28BA" w:tentative="1">
      <w:start w:val="1"/>
      <w:numFmt w:val="bullet"/>
      <w:lvlText w:val="•"/>
      <w:lvlJc w:val="left"/>
      <w:pPr>
        <w:tabs>
          <w:tab w:val="num" w:pos="2160"/>
        </w:tabs>
        <w:ind w:left="2160" w:hanging="360"/>
      </w:pPr>
      <w:rPr>
        <w:rFonts w:ascii="Times New Roman" w:hAnsi="Times New Roman" w:hint="default"/>
      </w:rPr>
    </w:lvl>
    <w:lvl w:ilvl="3" w:tplc="CCFC5CB4" w:tentative="1">
      <w:start w:val="1"/>
      <w:numFmt w:val="bullet"/>
      <w:lvlText w:val="•"/>
      <w:lvlJc w:val="left"/>
      <w:pPr>
        <w:tabs>
          <w:tab w:val="num" w:pos="2880"/>
        </w:tabs>
        <w:ind w:left="2880" w:hanging="360"/>
      </w:pPr>
      <w:rPr>
        <w:rFonts w:ascii="Times New Roman" w:hAnsi="Times New Roman" w:hint="default"/>
      </w:rPr>
    </w:lvl>
    <w:lvl w:ilvl="4" w:tplc="F77C107E" w:tentative="1">
      <w:start w:val="1"/>
      <w:numFmt w:val="bullet"/>
      <w:lvlText w:val="•"/>
      <w:lvlJc w:val="left"/>
      <w:pPr>
        <w:tabs>
          <w:tab w:val="num" w:pos="3600"/>
        </w:tabs>
        <w:ind w:left="3600" w:hanging="360"/>
      </w:pPr>
      <w:rPr>
        <w:rFonts w:ascii="Times New Roman" w:hAnsi="Times New Roman" w:hint="default"/>
      </w:rPr>
    </w:lvl>
    <w:lvl w:ilvl="5" w:tplc="109A4216" w:tentative="1">
      <w:start w:val="1"/>
      <w:numFmt w:val="bullet"/>
      <w:lvlText w:val="•"/>
      <w:lvlJc w:val="left"/>
      <w:pPr>
        <w:tabs>
          <w:tab w:val="num" w:pos="4320"/>
        </w:tabs>
        <w:ind w:left="4320" w:hanging="360"/>
      </w:pPr>
      <w:rPr>
        <w:rFonts w:ascii="Times New Roman" w:hAnsi="Times New Roman" w:hint="default"/>
      </w:rPr>
    </w:lvl>
    <w:lvl w:ilvl="6" w:tplc="96D4D222" w:tentative="1">
      <w:start w:val="1"/>
      <w:numFmt w:val="bullet"/>
      <w:lvlText w:val="•"/>
      <w:lvlJc w:val="left"/>
      <w:pPr>
        <w:tabs>
          <w:tab w:val="num" w:pos="5040"/>
        </w:tabs>
        <w:ind w:left="5040" w:hanging="360"/>
      </w:pPr>
      <w:rPr>
        <w:rFonts w:ascii="Times New Roman" w:hAnsi="Times New Roman" w:hint="default"/>
      </w:rPr>
    </w:lvl>
    <w:lvl w:ilvl="7" w:tplc="F8AEB45A" w:tentative="1">
      <w:start w:val="1"/>
      <w:numFmt w:val="bullet"/>
      <w:lvlText w:val="•"/>
      <w:lvlJc w:val="left"/>
      <w:pPr>
        <w:tabs>
          <w:tab w:val="num" w:pos="5760"/>
        </w:tabs>
        <w:ind w:left="5760" w:hanging="360"/>
      </w:pPr>
      <w:rPr>
        <w:rFonts w:ascii="Times New Roman" w:hAnsi="Times New Roman" w:hint="default"/>
      </w:rPr>
    </w:lvl>
    <w:lvl w:ilvl="8" w:tplc="830015F2" w:tentative="1">
      <w:start w:val="1"/>
      <w:numFmt w:val="bullet"/>
      <w:lvlText w:val="•"/>
      <w:lvlJc w:val="left"/>
      <w:pPr>
        <w:tabs>
          <w:tab w:val="num" w:pos="6480"/>
        </w:tabs>
        <w:ind w:left="6480" w:hanging="360"/>
      </w:pPr>
      <w:rPr>
        <w:rFonts w:ascii="Times New Roman" w:hAnsi="Times New Roman" w:hint="default"/>
      </w:rPr>
    </w:lvl>
  </w:abstractNum>
  <w:abstractNum w:abstractNumId="24">
    <w:nsid w:val="5FE75DF5"/>
    <w:multiLevelType w:val="hybridMultilevel"/>
    <w:tmpl w:val="01162A42"/>
    <w:lvl w:ilvl="0" w:tplc="E7C079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13E47CB"/>
    <w:multiLevelType w:val="hybridMultilevel"/>
    <w:tmpl w:val="F2821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2CA38CD"/>
    <w:multiLevelType w:val="hybridMultilevel"/>
    <w:tmpl w:val="4C76D1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871115"/>
    <w:multiLevelType w:val="multilevel"/>
    <w:tmpl w:val="1194CF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64071E86"/>
    <w:multiLevelType w:val="hybridMultilevel"/>
    <w:tmpl w:val="55A2C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B3614A"/>
    <w:multiLevelType w:val="hybridMultilevel"/>
    <w:tmpl w:val="387AE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82073BB"/>
    <w:multiLevelType w:val="hybridMultilevel"/>
    <w:tmpl w:val="65F6141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633140"/>
    <w:multiLevelType w:val="hybridMultilevel"/>
    <w:tmpl w:val="67C8E7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2AA24A2"/>
    <w:multiLevelType w:val="hybridMultilevel"/>
    <w:tmpl w:val="39221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A462B2C"/>
    <w:multiLevelType w:val="hybridMultilevel"/>
    <w:tmpl w:val="F6826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C2856A2"/>
    <w:multiLevelType w:val="hybridMultilevel"/>
    <w:tmpl w:val="D11E2CA6"/>
    <w:lvl w:ilvl="0" w:tplc="0409000F">
      <w:start w:val="1"/>
      <w:numFmt w:val="decimal"/>
      <w:lvlText w:val="%1."/>
      <w:lvlJc w:val="left"/>
      <w:pPr>
        <w:ind w:left="720" w:hanging="360"/>
      </w:pPr>
    </w:lvl>
    <w:lvl w:ilvl="1" w:tplc="64546FB6">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2"/>
  </w:num>
  <w:num w:numId="3">
    <w:abstractNumId w:val="29"/>
  </w:num>
  <w:num w:numId="4">
    <w:abstractNumId w:val="34"/>
  </w:num>
  <w:num w:numId="5">
    <w:abstractNumId w:val="24"/>
  </w:num>
  <w:num w:numId="6">
    <w:abstractNumId w:val="2"/>
  </w:num>
  <w:num w:numId="7">
    <w:abstractNumId w:val="33"/>
  </w:num>
  <w:num w:numId="8">
    <w:abstractNumId w:val="20"/>
  </w:num>
  <w:num w:numId="9">
    <w:abstractNumId w:val="19"/>
  </w:num>
  <w:num w:numId="10">
    <w:abstractNumId w:val="14"/>
  </w:num>
  <w:num w:numId="11">
    <w:abstractNumId w:val="28"/>
  </w:num>
  <w:num w:numId="12">
    <w:abstractNumId w:val="23"/>
  </w:num>
  <w:num w:numId="13">
    <w:abstractNumId w:val="18"/>
  </w:num>
  <w:num w:numId="14">
    <w:abstractNumId w:val="0"/>
  </w:num>
  <w:num w:numId="15">
    <w:abstractNumId w:val="1"/>
  </w:num>
  <w:num w:numId="16">
    <w:abstractNumId w:val="21"/>
  </w:num>
  <w:num w:numId="17">
    <w:abstractNumId w:val="11"/>
  </w:num>
  <w:num w:numId="18">
    <w:abstractNumId w:val="25"/>
  </w:num>
  <w:num w:numId="19">
    <w:abstractNumId w:val="30"/>
  </w:num>
  <w:num w:numId="20">
    <w:abstractNumId w:val="26"/>
  </w:num>
  <w:num w:numId="21">
    <w:abstractNumId w:val="16"/>
  </w:num>
  <w:num w:numId="22">
    <w:abstractNumId w:val="12"/>
  </w:num>
  <w:num w:numId="23">
    <w:abstractNumId w:val="4"/>
  </w:num>
  <w:num w:numId="24">
    <w:abstractNumId w:val="17"/>
  </w:num>
  <w:num w:numId="25">
    <w:abstractNumId w:val="7"/>
  </w:num>
  <w:num w:numId="26">
    <w:abstractNumId w:val="13"/>
  </w:num>
  <w:num w:numId="27">
    <w:abstractNumId w:val="3"/>
  </w:num>
  <w:num w:numId="28">
    <w:abstractNumId w:val="9"/>
  </w:num>
  <w:num w:numId="29">
    <w:abstractNumId w:val="27"/>
  </w:num>
  <w:num w:numId="30">
    <w:abstractNumId w:val="5"/>
  </w:num>
  <w:num w:numId="31">
    <w:abstractNumId w:val="15"/>
  </w:num>
  <w:num w:numId="32">
    <w:abstractNumId w:val="31"/>
  </w:num>
  <w:num w:numId="33">
    <w:abstractNumId w:val="10"/>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ansanchai, Mananya">
    <w15:presenceInfo w15:providerId="AD" w15:userId="S-1-5-21-115761338-343289930-1325754085-2888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A5F"/>
    <w:rsid w:val="0000411D"/>
    <w:rsid w:val="000049BB"/>
    <w:rsid w:val="00004C8E"/>
    <w:rsid w:val="000050CC"/>
    <w:rsid w:val="00005E70"/>
    <w:rsid w:val="00007BED"/>
    <w:rsid w:val="00012F86"/>
    <w:rsid w:val="00014740"/>
    <w:rsid w:val="00014742"/>
    <w:rsid w:val="00016772"/>
    <w:rsid w:val="0001685C"/>
    <w:rsid w:val="00016AD6"/>
    <w:rsid w:val="000170B5"/>
    <w:rsid w:val="00017488"/>
    <w:rsid w:val="0002118E"/>
    <w:rsid w:val="00022DF0"/>
    <w:rsid w:val="00022EAC"/>
    <w:rsid w:val="00023102"/>
    <w:rsid w:val="000242BD"/>
    <w:rsid w:val="00024AA9"/>
    <w:rsid w:val="00025717"/>
    <w:rsid w:val="00026512"/>
    <w:rsid w:val="00026F78"/>
    <w:rsid w:val="00026FB9"/>
    <w:rsid w:val="000272C2"/>
    <w:rsid w:val="00027ED2"/>
    <w:rsid w:val="00030349"/>
    <w:rsid w:val="0003064A"/>
    <w:rsid w:val="0003129B"/>
    <w:rsid w:val="000313A4"/>
    <w:rsid w:val="000313C0"/>
    <w:rsid w:val="00032B63"/>
    <w:rsid w:val="00032F1B"/>
    <w:rsid w:val="00034DE3"/>
    <w:rsid w:val="000351CB"/>
    <w:rsid w:val="000373B0"/>
    <w:rsid w:val="000374A5"/>
    <w:rsid w:val="0004018B"/>
    <w:rsid w:val="00044365"/>
    <w:rsid w:val="00044570"/>
    <w:rsid w:val="000448A5"/>
    <w:rsid w:val="00044A5D"/>
    <w:rsid w:val="00045422"/>
    <w:rsid w:val="00046D10"/>
    <w:rsid w:val="00047009"/>
    <w:rsid w:val="00047CCB"/>
    <w:rsid w:val="00047F6F"/>
    <w:rsid w:val="0005317E"/>
    <w:rsid w:val="00053CD8"/>
    <w:rsid w:val="0005535A"/>
    <w:rsid w:val="00055973"/>
    <w:rsid w:val="00056167"/>
    <w:rsid w:val="00056DB9"/>
    <w:rsid w:val="000571F6"/>
    <w:rsid w:val="00057957"/>
    <w:rsid w:val="0005796E"/>
    <w:rsid w:val="00057C09"/>
    <w:rsid w:val="00060DFF"/>
    <w:rsid w:val="00062400"/>
    <w:rsid w:val="00063A83"/>
    <w:rsid w:val="00063F96"/>
    <w:rsid w:val="00063FA7"/>
    <w:rsid w:val="0006490F"/>
    <w:rsid w:val="00066844"/>
    <w:rsid w:val="00066845"/>
    <w:rsid w:val="00066D5B"/>
    <w:rsid w:val="000678A2"/>
    <w:rsid w:val="00067EB5"/>
    <w:rsid w:val="000701EB"/>
    <w:rsid w:val="000719AA"/>
    <w:rsid w:val="00073184"/>
    <w:rsid w:val="00073C1E"/>
    <w:rsid w:val="000749EA"/>
    <w:rsid w:val="00076858"/>
    <w:rsid w:val="00077161"/>
    <w:rsid w:val="00077DC4"/>
    <w:rsid w:val="00080CC7"/>
    <w:rsid w:val="000814B9"/>
    <w:rsid w:val="00081DFB"/>
    <w:rsid w:val="00082437"/>
    <w:rsid w:val="000828BF"/>
    <w:rsid w:val="000842B9"/>
    <w:rsid w:val="0008441F"/>
    <w:rsid w:val="0008537D"/>
    <w:rsid w:val="00085DF5"/>
    <w:rsid w:val="00086594"/>
    <w:rsid w:val="00087378"/>
    <w:rsid w:val="00087D5A"/>
    <w:rsid w:val="00095610"/>
    <w:rsid w:val="000966CC"/>
    <w:rsid w:val="00096D2D"/>
    <w:rsid w:val="00097409"/>
    <w:rsid w:val="000A11F3"/>
    <w:rsid w:val="000A1ADB"/>
    <w:rsid w:val="000A2490"/>
    <w:rsid w:val="000A2C59"/>
    <w:rsid w:val="000A2FB3"/>
    <w:rsid w:val="000A3CFB"/>
    <w:rsid w:val="000A48F2"/>
    <w:rsid w:val="000A4F33"/>
    <w:rsid w:val="000B0766"/>
    <w:rsid w:val="000B0972"/>
    <w:rsid w:val="000B0B1E"/>
    <w:rsid w:val="000B63FA"/>
    <w:rsid w:val="000B6B1A"/>
    <w:rsid w:val="000B71D2"/>
    <w:rsid w:val="000C07B1"/>
    <w:rsid w:val="000C0FD3"/>
    <w:rsid w:val="000C23B1"/>
    <w:rsid w:val="000C2D11"/>
    <w:rsid w:val="000C2E95"/>
    <w:rsid w:val="000C4909"/>
    <w:rsid w:val="000C5FFA"/>
    <w:rsid w:val="000C6AAD"/>
    <w:rsid w:val="000C768E"/>
    <w:rsid w:val="000C787A"/>
    <w:rsid w:val="000D06CE"/>
    <w:rsid w:val="000D1381"/>
    <w:rsid w:val="000D1C38"/>
    <w:rsid w:val="000D22E1"/>
    <w:rsid w:val="000D2D93"/>
    <w:rsid w:val="000D4559"/>
    <w:rsid w:val="000D47BE"/>
    <w:rsid w:val="000D47DA"/>
    <w:rsid w:val="000D4EB7"/>
    <w:rsid w:val="000D5047"/>
    <w:rsid w:val="000D52DD"/>
    <w:rsid w:val="000D5790"/>
    <w:rsid w:val="000D64B7"/>
    <w:rsid w:val="000D6DA4"/>
    <w:rsid w:val="000E0350"/>
    <w:rsid w:val="000E0BA4"/>
    <w:rsid w:val="000E132D"/>
    <w:rsid w:val="000E21E0"/>
    <w:rsid w:val="000E273A"/>
    <w:rsid w:val="000E31B5"/>
    <w:rsid w:val="000E65C8"/>
    <w:rsid w:val="000E6E80"/>
    <w:rsid w:val="000E73AD"/>
    <w:rsid w:val="000F0069"/>
    <w:rsid w:val="000F0963"/>
    <w:rsid w:val="000F0C5D"/>
    <w:rsid w:val="000F11DD"/>
    <w:rsid w:val="000F16B4"/>
    <w:rsid w:val="000F1946"/>
    <w:rsid w:val="000F5CBC"/>
    <w:rsid w:val="001017FF"/>
    <w:rsid w:val="00102BF4"/>
    <w:rsid w:val="00102F3E"/>
    <w:rsid w:val="0011221E"/>
    <w:rsid w:val="00115608"/>
    <w:rsid w:val="00115EB1"/>
    <w:rsid w:val="00116E72"/>
    <w:rsid w:val="00120AA3"/>
    <w:rsid w:val="0012128C"/>
    <w:rsid w:val="0012161A"/>
    <w:rsid w:val="00121C67"/>
    <w:rsid w:val="00121D23"/>
    <w:rsid w:val="00122BD0"/>
    <w:rsid w:val="001231EA"/>
    <w:rsid w:val="001248A3"/>
    <w:rsid w:val="00124F32"/>
    <w:rsid w:val="001256EC"/>
    <w:rsid w:val="00126483"/>
    <w:rsid w:val="00126A4E"/>
    <w:rsid w:val="00127B4E"/>
    <w:rsid w:val="00127CC8"/>
    <w:rsid w:val="0013046A"/>
    <w:rsid w:val="0013080C"/>
    <w:rsid w:val="0013087E"/>
    <w:rsid w:val="00130C40"/>
    <w:rsid w:val="00133198"/>
    <w:rsid w:val="00133783"/>
    <w:rsid w:val="00133946"/>
    <w:rsid w:val="00133C60"/>
    <w:rsid w:val="00134D67"/>
    <w:rsid w:val="00136D56"/>
    <w:rsid w:val="001379BA"/>
    <w:rsid w:val="00140482"/>
    <w:rsid w:val="001416D1"/>
    <w:rsid w:val="0014398A"/>
    <w:rsid w:val="001506C5"/>
    <w:rsid w:val="00150EC7"/>
    <w:rsid w:val="00152F83"/>
    <w:rsid w:val="00153516"/>
    <w:rsid w:val="001537C0"/>
    <w:rsid w:val="00155EF5"/>
    <w:rsid w:val="00157A5A"/>
    <w:rsid w:val="00157FB2"/>
    <w:rsid w:val="00160658"/>
    <w:rsid w:val="00161B73"/>
    <w:rsid w:val="00161E02"/>
    <w:rsid w:val="00163256"/>
    <w:rsid w:val="00163A05"/>
    <w:rsid w:val="00163CC0"/>
    <w:rsid w:val="0016453D"/>
    <w:rsid w:val="001661A3"/>
    <w:rsid w:val="00167F2B"/>
    <w:rsid w:val="00170700"/>
    <w:rsid w:val="0017104B"/>
    <w:rsid w:val="0017179F"/>
    <w:rsid w:val="00171812"/>
    <w:rsid w:val="00172149"/>
    <w:rsid w:val="001729B4"/>
    <w:rsid w:val="00173499"/>
    <w:rsid w:val="0017481E"/>
    <w:rsid w:val="00174ED0"/>
    <w:rsid w:val="0017503B"/>
    <w:rsid w:val="00175673"/>
    <w:rsid w:val="00176431"/>
    <w:rsid w:val="00177B9F"/>
    <w:rsid w:val="00181303"/>
    <w:rsid w:val="00181C0B"/>
    <w:rsid w:val="00182160"/>
    <w:rsid w:val="001822FC"/>
    <w:rsid w:val="0018290E"/>
    <w:rsid w:val="0018359B"/>
    <w:rsid w:val="001835E1"/>
    <w:rsid w:val="00183C8E"/>
    <w:rsid w:val="001843D3"/>
    <w:rsid w:val="00190AEF"/>
    <w:rsid w:val="0019119C"/>
    <w:rsid w:val="00192542"/>
    <w:rsid w:val="00194112"/>
    <w:rsid w:val="001946B1"/>
    <w:rsid w:val="001949B9"/>
    <w:rsid w:val="00194AD7"/>
    <w:rsid w:val="00194E14"/>
    <w:rsid w:val="00196105"/>
    <w:rsid w:val="001965AF"/>
    <w:rsid w:val="00196880"/>
    <w:rsid w:val="00196D7C"/>
    <w:rsid w:val="00197A23"/>
    <w:rsid w:val="001A13D5"/>
    <w:rsid w:val="001A2366"/>
    <w:rsid w:val="001A3026"/>
    <w:rsid w:val="001A450C"/>
    <w:rsid w:val="001A4516"/>
    <w:rsid w:val="001A4B5E"/>
    <w:rsid w:val="001A550C"/>
    <w:rsid w:val="001A573F"/>
    <w:rsid w:val="001A5C3F"/>
    <w:rsid w:val="001A6426"/>
    <w:rsid w:val="001A64C6"/>
    <w:rsid w:val="001A6EC3"/>
    <w:rsid w:val="001A7081"/>
    <w:rsid w:val="001A70AD"/>
    <w:rsid w:val="001A73E3"/>
    <w:rsid w:val="001A7895"/>
    <w:rsid w:val="001B03AC"/>
    <w:rsid w:val="001B238D"/>
    <w:rsid w:val="001B242B"/>
    <w:rsid w:val="001B45F2"/>
    <w:rsid w:val="001B4ACB"/>
    <w:rsid w:val="001B5E15"/>
    <w:rsid w:val="001B75E6"/>
    <w:rsid w:val="001B75F4"/>
    <w:rsid w:val="001B792D"/>
    <w:rsid w:val="001B7D84"/>
    <w:rsid w:val="001C0721"/>
    <w:rsid w:val="001C1C03"/>
    <w:rsid w:val="001C28F8"/>
    <w:rsid w:val="001C2942"/>
    <w:rsid w:val="001C2E2C"/>
    <w:rsid w:val="001C3A88"/>
    <w:rsid w:val="001C4E97"/>
    <w:rsid w:val="001C64DB"/>
    <w:rsid w:val="001C6C57"/>
    <w:rsid w:val="001D067F"/>
    <w:rsid w:val="001D0750"/>
    <w:rsid w:val="001D0AF0"/>
    <w:rsid w:val="001D0FE0"/>
    <w:rsid w:val="001D11CE"/>
    <w:rsid w:val="001D16C2"/>
    <w:rsid w:val="001D1B62"/>
    <w:rsid w:val="001D3F48"/>
    <w:rsid w:val="001D483C"/>
    <w:rsid w:val="001D54AF"/>
    <w:rsid w:val="001D611A"/>
    <w:rsid w:val="001D6741"/>
    <w:rsid w:val="001E02C0"/>
    <w:rsid w:val="001E1445"/>
    <w:rsid w:val="001E19D1"/>
    <w:rsid w:val="001E37BA"/>
    <w:rsid w:val="001E3AE3"/>
    <w:rsid w:val="001E3DA1"/>
    <w:rsid w:val="001E4B42"/>
    <w:rsid w:val="001E7CA0"/>
    <w:rsid w:val="001F0078"/>
    <w:rsid w:val="001F2B40"/>
    <w:rsid w:val="001F3189"/>
    <w:rsid w:val="001F32D3"/>
    <w:rsid w:val="001F4083"/>
    <w:rsid w:val="001F60D5"/>
    <w:rsid w:val="001F627F"/>
    <w:rsid w:val="001F6E49"/>
    <w:rsid w:val="001F7023"/>
    <w:rsid w:val="00200174"/>
    <w:rsid w:val="00201DAE"/>
    <w:rsid w:val="00202D27"/>
    <w:rsid w:val="00203161"/>
    <w:rsid w:val="002040A8"/>
    <w:rsid w:val="0020665C"/>
    <w:rsid w:val="00210392"/>
    <w:rsid w:val="00210550"/>
    <w:rsid w:val="00211BAC"/>
    <w:rsid w:val="00212753"/>
    <w:rsid w:val="002154B2"/>
    <w:rsid w:val="002163D5"/>
    <w:rsid w:val="002165C3"/>
    <w:rsid w:val="002170D6"/>
    <w:rsid w:val="002173F3"/>
    <w:rsid w:val="002203EA"/>
    <w:rsid w:val="0022055B"/>
    <w:rsid w:val="0022067C"/>
    <w:rsid w:val="002207C3"/>
    <w:rsid w:val="00220F52"/>
    <w:rsid w:val="0022233D"/>
    <w:rsid w:val="0022370C"/>
    <w:rsid w:val="0022428B"/>
    <w:rsid w:val="002245D6"/>
    <w:rsid w:val="00224863"/>
    <w:rsid w:val="00224B26"/>
    <w:rsid w:val="00224D3E"/>
    <w:rsid w:val="00225583"/>
    <w:rsid w:val="002257FA"/>
    <w:rsid w:val="00225901"/>
    <w:rsid w:val="00225AB8"/>
    <w:rsid w:val="0022619C"/>
    <w:rsid w:val="0022799A"/>
    <w:rsid w:val="00231D53"/>
    <w:rsid w:val="0023385B"/>
    <w:rsid w:val="00235694"/>
    <w:rsid w:val="002374D9"/>
    <w:rsid w:val="00237519"/>
    <w:rsid w:val="002378D5"/>
    <w:rsid w:val="00241DAA"/>
    <w:rsid w:val="0024210B"/>
    <w:rsid w:val="0024233E"/>
    <w:rsid w:val="00243BAC"/>
    <w:rsid w:val="002447D2"/>
    <w:rsid w:val="00244B8C"/>
    <w:rsid w:val="00244BD6"/>
    <w:rsid w:val="00245A56"/>
    <w:rsid w:val="002466F4"/>
    <w:rsid w:val="00246884"/>
    <w:rsid w:val="002504F2"/>
    <w:rsid w:val="002505EA"/>
    <w:rsid w:val="002522C9"/>
    <w:rsid w:val="00252352"/>
    <w:rsid w:val="00255067"/>
    <w:rsid w:val="0025585A"/>
    <w:rsid w:val="00255FFE"/>
    <w:rsid w:val="0025738E"/>
    <w:rsid w:val="002574CF"/>
    <w:rsid w:val="00262365"/>
    <w:rsid w:val="002628B9"/>
    <w:rsid w:val="002635D8"/>
    <w:rsid w:val="002644BC"/>
    <w:rsid w:val="00264B03"/>
    <w:rsid w:val="00265769"/>
    <w:rsid w:val="0026609D"/>
    <w:rsid w:val="0026745F"/>
    <w:rsid w:val="002676A5"/>
    <w:rsid w:val="00270FD7"/>
    <w:rsid w:val="00271DB5"/>
    <w:rsid w:val="0027323D"/>
    <w:rsid w:val="00273754"/>
    <w:rsid w:val="00273C4E"/>
    <w:rsid w:val="0027474D"/>
    <w:rsid w:val="00274A7E"/>
    <w:rsid w:val="0027515D"/>
    <w:rsid w:val="0027624D"/>
    <w:rsid w:val="0027679B"/>
    <w:rsid w:val="00276918"/>
    <w:rsid w:val="00276ED1"/>
    <w:rsid w:val="0027792C"/>
    <w:rsid w:val="002803E7"/>
    <w:rsid w:val="002856F0"/>
    <w:rsid w:val="002859D9"/>
    <w:rsid w:val="00285AF5"/>
    <w:rsid w:val="0028619D"/>
    <w:rsid w:val="002862B7"/>
    <w:rsid w:val="00286B3C"/>
    <w:rsid w:val="0028709C"/>
    <w:rsid w:val="00287D40"/>
    <w:rsid w:val="002913D0"/>
    <w:rsid w:val="00291D75"/>
    <w:rsid w:val="00291FA7"/>
    <w:rsid w:val="0029371D"/>
    <w:rsid w:val="00295B67"/>
    <w:rsid w:val="002971C4"/>
    <w:rsid w:val="002A165B"/>
    <w:rsid w:val="002A19D4"/>
    <w:rsid w:val="002A1BD1"/>
    <w:rsid w:val="002A1E07"/>
    <w:rsid w:val="002A22A4"/>
    <w:rsid w:val="002A2A5A"/>
    <w:rsid w:val="002A2C2E"/>
    <w:rsid w:val="002A4B6C"/>
    <w:rsid w:val="002A4E9B"/>
    <w:rsid w:val="002A65CD"/>
    <w:rsid w:val="002B0ECF"/>
    <w:rsid w:val="002B166E"/>
    <w:rsid w:val="002B3B1A"/>
    <w:rsid w:val="002B40BA"/>
    <w:rsid w:val="002B52B9"/>
    <w:rsid w:val="002B7CE7"/>
    <w:rsid w:val="002C12FA"/>
    <w:rsid w:val="002C1CFC"/>
    <w:rsid w:val="002C21F9"/>
    <w:rsid w:val="002C23B7"/>
    <w:rsid w:val="002C26EB"/>
    <w:rsid w:val="002C321E"/>
    <w:rsid w:val="002C3514"/>
    <w:rsid w:val="002C42E0"/>
    <w:rsid w:val="002C466F"/>
    <w:rsid w:val="002C4F1C"/>
    <w:rsid w:val="002C518C"/>
    <w:rsid w:val="002C53DD"/>
    <w:rsid w:val="002C6F4C"/>
    <w:rsid w:val="002C7B46"/>
    <w:rsid w:val="002C7C8C"/>
    <w:rsid w:val="002C7DD2"/>
    <w:rsid w:val="002D0F51"/>
    <w:rsid w:val="002D12AC"/>
    <w:rsid w:val="002D2118"/>
    <w:rsid w:val="002D27DC"/>
    <w:rsid w:val="002D37BE"/>
    <w:rsid w:val="002D4621"/>
    <w:rsid w:val="002D6ACB"/>
    <w:rsid w:val="002E0043"/>
    <w:rsid w:val="002E029C"/>
    <w:rsid w:val="002E0B3D"/>
    <w:rsid w:val="002E0F0A"/>
    <w:rsid w:val="002E1AD7"/>
    <w:rsid w:val="002E27DC"/>
    <w:rsid w:val="002E3FD5"/>
    <w:rsid w:val="002E40A2"/>
    <w:rsid w:val="002E47B4"/>
    <w:rsid w:val="002E5671"/>
    <w:rsid w:val="002E6623"/>
    <w:rsid w:val="002E68C8"/>
    <w:rsid w:val="002E7C0C"/>
    <w:rsid w:val="002F009A"/>
    <w:rsid w:val="002F105C"/>
    <w:rsid w:val="002F11A3"/>
    <w:rsid w:val="002F2134"/>
    <w:rsid w:val="002F3250"/>
    <w:rsid w:val="002F3610"/>
    <w:rsid w:val="002F3FE5"/>
    <w:rsid w:val="002F4E8C"/>
    <w:rsid w:val="002F5773"/>
    <w:rsid w:val="002F67F3"/>
    <w:rsid w:val="0030104F"/>
    <w:rsid w:val="0030114D"/>
    <w:rsid w:val="00301B6E"/>
    <w:rsid w:val="00302B74"/>
    <w:rsid w:val="003032B7"/>
    <w:rsid w:val="003034D0"/>
    <w:rsid w:val="0030390D"/>
    <w:rsid w:val="0030393F"/>
    <w:rsid w:val="0030455A"/>
    <w:rsid w:val="003045EB"/>
    <w:rsid w:val="0030550A"/>
    <w:rsid w:val="00306DD7"/>
    <w:rsid w:val="00306E82"/>
    <w:rsid w:val="0031195F"/>
    <w:rsid w:val="00311969"/>
    <w:rsid w:val="00311B2F"/>
    <w:rsid w:val="003129E8"/>
    <w:rsid w:val="00313394"/>
    <w:rsid w:val="00315AB7"/>
    <w:rsid w:val="00316A0B"/>
    <w:rsid w:val="00321DB0"/>
    <w:rsid w:val="00322FB9"/>
    <w:rsid w:val="003243E3"/>
    <w:rsid w:val="00324AFE"/>
    <w:rsid w:val="00324D0F"/>
    <w:rsid w:val="003259CD"/>
    <w:rsid w:val="0032657A"/>
    <w:rsid w:val="00327F82"/>
    <w:rsid w:val="00331126"/>
    <w:rsid w:val="00331F75"/>
    <w:rsid w:val="00332E5C"/>
    <w:rsid w:val="00333E01"/>
    <w:rsid w:val="00335017"/>
    <w:rsid w:val="0033508D"/>
    <w:rsid w:val="003376BE"/>
    <w:rsid w:val="0034023F"/>
    <w:rsid w:val="00340DAD"/>
    <w:rsid w:val="003419BE"/>
    <w:rsid w:val="00341B87"/>
    <w:rsid w:val="0034271B"/>
    <w:rsid w:val="00344A93"/>
    <w:rsid w:val="00345662"/>
    <w:rsid w:val="00345971"/>
    <w:rsid w:val="00345DE6"/>
    <w:rsid w:val="0034647B"/>
    <w:rsid w:val="00346F30"/>
    <w:rsid w:val="00350382"/>
    <w:rsid w:val="00350891"/>
    <w:rsid w:val="003523C2"/>
    <w:rsid w:val="003523EE"/>
    <w:rsid w:val="00353DC2"/>
    <w:rsid w:val="0035476D"/>
    <w:rsid w:val="0035498F"/>
    <w:rsid w:val="00355210"/>
    <w:rsid w:val="00355785"/>
    <w:rsid w:val="00356017"/>
    <w:rsid w:val="00357D7B"/>
    <w:rsid w:val="00357F8C"/>
    <w:rsid w:val="00362067"/>
    <w:rsid w:val="00362839"/>
    <w:rsid w:val="00362F8F"/>
    <w:rsid w:val="0036440B"/>
    <w:rsid w:val="00367DF8"/>
    <w:rsid w:val="0037383A"/>
    <w:rsid w:val="00374640"/>
    <w:rsid w:val="0037577B"/>
    <w:rsid w:val="0037707D"/>
    <w:rsid w:val="00377407"/>
    <w:rsid w:val="00377531"/>
    <w:rsid w:val="00381BB7"/>
    <w:rsid w:val="0038391A"/>
    <w:rsid w:val="00383B74"/>
    <w:rsid w:val="00385371"/>
    <w:rsid w:val="003863C4"/>
    <w:rsid w:val="0038775F"/>
    <w:rsid w:val="00387CCC"/>
    <w:rsid w:val="003914CB"/>
    <w:rsid w:val="003915AD"/>
    <w:rsid w:val="00391C77"/>
    <w:rsid w:val="00392734"/>
    <w:rsid w:val="00392B5E"/>
    <w:rsid w:val="00392C05"/>
    <w:rsid w:val="00393618"/>
    <w:rsid w:val="00393D41"/>
    <w:rsid w:val="003942ED"/>
    <w:rsid w:val="00394504"/>
    <w:rsid w:val="00395845"/>
    <w:rsid w:val="0039761A"/>
    <w:rsid w:val="003A0DD8"/>
    <w:rsid w:val="003A0DE6"/>
    <w:rsid w:val="003A1B51"/>
    <w:rsid w:val="003A1C6A"/>
    <w:rsid w:val="003A2593"/>
    <w:rsid w:val="003A4329"/>
    <w:rsid w:val="003A4ABF"/>
    <w:rsid w:val="003A648E"/>
    <w:rsid w:val="003A66D0"/>
    <w:rsid w:val="003A6E80"/>
    <w:rsid w:val="003A7DD4"/>
    <w:rsid w:val="003B01FE"/>
    <w:rsid w:val="003B1D79"/>
    <w:rsid w:val="003B2DE1"/>
    <w:rsid w:val="003B3615"/>
    <w:rsid w:val="003B384E"/>
    <w:rsid w:val="003B434C"/>
    <w:rsid w:val="003B44BB"/>
    <w:rsid w:val="003B51DE"/>
    <w:rsid w:val="003B7594"/>
    <w:rsid w:val="003C0071"/>
    <w:rsid w:val="003C27C4"/>
    <w:rsid w:val="003C3016"/>
    <w:rsid w:val="003C34B8"/>
    <w:rsid w:val="003C3A3C"/>
    <w:rsid w:val="003C479C"/>
    <w:rsid w:val="003C48C5"/>
    <w:rsid w:val="003C5915"/>
    <w:rsid w:val="003C5980"/>
    <w:rsid w:val="003C6DFA"/>
    <w:rsid w:val="003C70E2"/>
    <w:rsid w:val="003C7382"/>
    <w:rsid w:val="003D04BC"/>
    <w:rsid w:val="003D36AD"/>
    <w:rsid w:val="003D3F36"/>
    <w:rsid w:val="003D5191"/>
    <w:rsid w:val="003D5B4D"/>
    <w:rsid w:val="003D60B8"/>
    <w:rsid w:val="003E04A6"/>
    <w:rsid w:val="003E182D"/>
    <w:rsid w:val="003E1D2A"/>
    <w:rsid w:val="003E20DB"/>
    <w:rsid w:val="003E24CE"/>
    <w:rsid w:val="003E3441"/>
    <w:rsid w:val="003E3941"/>
    <w:rsid w:val="003E41C9"/>
    <w:rsid w:val="003E540D"/>
    <w:rsid w:val="003E7422"/>
    <w:rsid w:val="003E7CF9"/>
    <w:rsid w:val="003E7D3D"/>
    <w:rsid w:val="003E7E0A"/>
    <w:rsid w:val="003F0439"/>
    <w:rsid w:val="003F0CBE"/>
    <w:rsid w:val="003F1E08"/>
    <w:rsid w:val="003F2817"/>
    <w:rsid w:val="003F3107"/>
    <w:rsid w:val="003F3419"/>
    <w:rsid w:val="003F3DED"/>
    <w:rsid w:val="003F57BD"/>
    <w:rsid w:val="003F5B70"/>
    <w:rsid w:val="003F7432"/>
    <w:rsid w:val="003F7A9C"/>
    <w:rsid w:val="004018B3"/>
    <w:rsid w:val="00401DCE"/>
    <w:rsid w:val="0040257D"/>
    <w:rsid w:val="0040323C"/>
    <w:rsid w:val="00403FBE"/>
    <w:rsid w:val="00405C23"/>
    <w:rsid w:val="004075BD"/>
    <w:rsid w:val="004078BB"/>
    <w:rsid w:val="004117E0"/>
    <w:rsid w:val="00412369"/>
    <w:rsid w:val="0041339D"/>
    <w:rsid w:val="004148A5"/>
    <w:rsid w:val="00414E64"/>
    <w:rsid w:val="00415754"/>
    <w:rsid w:val="004162E3"/>
    <w:rsid w:val="004203DD"/>
    <w:rsid w:val="00421984"/>
    <w:rsid w:val="00421ED8"/>
    <w:rsid w:val="004225F5"/>
    <w:rsid w:val="0042297B"/>
    <w:rsid w:val="00422D1A"/>
    <w:rsid w:val="00422F19"/>
    <w:rsid w:val="004239A1"/>
    <w:rsid w:val="00423B48"/>
    <w:rsid w:val="00425CE6"/>
    <w:rsid w:val="00425FE9"/>
    <w:rsid w:val="00427131"/>
    <w:rsid w:val="00427D15"/>
    <w:rsid w:val="004301AB"/>
    <w:rsid w:val="004304AE"/>
    <w:rsid w:val="004306C2"/>
    <w:rsid w:val="00431602"/>
    <w:rsid w:val="00431DA5"/>
    <w:rsid w:val="004323E9"/>
    <w:rsid w:val="00432C65"/>
    <w:rsid w:val="004339ED"/>
    <w:rsid w:val="00433B89"/>
    <w:rsid w:val="0043466C"/>
    <w:rsid w:val="00435469"/>
    <w:rsid w:val="00435C34"/>
    <w:rsid w:val="00436AF7"/>
    <w:rsid w:val="00436F7E"/>
    <w:rsid w:val="00437103"/>
    <w:rsid w:val="00437479"/>
    <w:rsid w:val="00437947"/>
    <w:rsid w:val="0044128D"/>
    <w:rsid w:val="004419D3"/>
    <w:rsid w:val="004423F3"/>
    <w:rsid w:val="00442BCF"/>
    <w:rsid w:val="0044337C"/>
    <w:rsid w:val="00444709"/>
    <w:rsid w:val="00445790"/>
    <w:rsid w:val="0044620E"/>
    <w:rsid w:val="004464AA"/>
    <w:rsid w:val="00446895"/>
    <w:rsid w:val="00447E39"/>
    <w:rsid w:val="00450273"/>
    <w:rsid w:val="004509A5"/>
    <w:rsid w:val="00451B66"/>
    <w:rsid w:val="00451B8B"/>
    <w:rsid w:val="0045202A"/>
    <w:rsid w:val="00452B24"/>
    <w:rsid w:val="00452CA5"/>
    <w:rsid w:val="00453A77"/>
    <w:rsid w:val="00454ECB"/>
    <w:rsid w:val="004551F3"/>
    <w:rsid w:val="004557C6"/>
    <w:rsid w:val="00455856"/>
    <w:rsid w:val="004563F1"/>
    <w:rsid w:val="00457358"/>
    <w:rsid w:val="00457464"/>
    <w:rsid w:val="004602EC"/>
    <w:rsid w:val="004603D1"/>
    <w:rsid w:val="004604F4"/>
    <w:rsid w:val="0046144E"/>
    <w:rsid w:val="004617A6"/>
    <w:rsid w:val="0046239D"/>
    <w:rsid w:val="00462467"/>
    <w:rsid w:val="00464374"/>
    <w:rsid w:val="00464B1C"/>
    <w:rsid w:val="00464BCA"/>
    <w:rsid w:val="00466137"/>
    <w:rsid w:val="00466758"/>
    <w:rsid w:val="004674CA"/>
    <w:rsid w:val="00467531"/>
    <w:rsid w:val="00467533"/>
    <w:rsid w:val="00467ED3"/>
    <w:rsid w:val="00467FE9"/>
    <w:rsid w:val="00472A79"/>
    <w:rsid w:val="00474025"/>
    <w:rsid w:val="00474E68"/>
    <w:rsid w:val="00475E34"/>
    <w:rsid w:val="00476007"/>
    <w:rsid w:val="00476128"/>
    <w:rsid w:val="00476B67"/>
    <w:rsid w:val="0048008C"/>
    <w:rsid w:val="004809C9"/>
    <w:rsid w:val="00480BAD"/>
    <w:rsid w:val="00480C7E"/>
    <w:rsid w:val="0048184C"/>
    <w:rsid w:val="00485A0A"/>
    <w:rsid w:val="00486CF9"/>
    <w:rsid w:val="0048792B"/>
    <w:rsid w:val="004879EB"/>
    <w:rsid w:val="00487D95"/>
    <w:rsid w:val="0049074B"/>
    <w:rsid w:val="0049120B"/>
    <w:rsid w:val="004915B9"/>
    <w:rsid w:val="00492048"/>
    <w:rsid w:val="00493401"/>
    <w:rsid w:val="00493555"/>
    <w:rsid w:val="0049475B"/>
    <w:rsid w:val="00495AEF"/>
    <w:rsid w:val="00495F03"/>
    <w:rsid w:val="004967A2"/>
    <w:rsid w:val="004967EC"/>
    <w:rsid w:val="00497CD3"/>
    <w:rsid w:val="004A044D"/>
    <w:rsid w:val="004A0A9D"/>
    <w:rsid w:val="004A1B4A"/>
    <w:rsid w:val="004A2D46"/>
    <w:rsid w:val="004A3A35"/>
    <w:rsid w:val="004A46C4"/>
    <w:rsid w:val="004A65B7"/>
    <w:rsid w:val="004A6FCA"/>
    <w:rsid w:val="004A74F0"/>
    <w:rsid w:val="004A7A73"/>
    <w:rsid w:val="004B0F48"/>
    <w:rsid w:val="004B1803"/>
    <w:rsid w:val="004B2914"/>
    <w:rsid w:val="004B2B9D"/>
    <w:rsid w:val="004B2CFB"/>
    <w:rsid w:val="004B3A7B"/>
    <w:rsid w:val="004B3C5B"/>
    <w:rsid w:val="004B3F3D"/>
    <w:rsid w:val="004B4489"/>
    <w:rsid w:val="004B46D2"/>
    <w:rsid w:val="004B4AD1"/>
    <w:rsid w:val="004B506E"/>
    <w:rsid w:val="004B5D92"/>
    <w:rsid w:val="004C10C4"/>
    <w:rsid w:val="004C26E9"/>
    <w:rsid w:val="004C3412"/>
    <w:rsid w:val="004C4DAB"/>
    <w:rsid w:val="004C4E2A"/>
    <w:rsid w:val="004C50AA"/>
    <w:rsid w:val="004C543B"/>
    <w:rsid w:val="004C5579"/>
    <w:rsid w:val="004C56D1"/>
    <w:rsid w:val="004C572C"/>
    <w:rsid w:val="004C68D9"/>
    <w:rsid w:val="004C6B9C"/>
    <w:rsid w:val="004D0E10"/>
    <w:rsid w:val="004D1535"/>
    <w:rsid w:val="004D2C76"/>
    <w:rsid w:val="004D2D73"/>
    <w:rsid w:val="004D476D"/>
    <w:rsid w:val="004D58D5"/>
    <w:rsid w:val="004D6159"/>
    <w:rsid w:val="004D6535"/>
    <w:rsid w:val="004D71AF"/>
    <w:rsid w:val="004D7301"/>
    <w:rsid w:val="004D7F6F"/>
    <w:rsid w:val="004E3E13"/>
    <w:rsid w:val="004E43A4"/>
    <w:rsid w:val="004E7408"/>
    <w:rsid w:val="004F0A9B"/>
    <w:rsid w:val="004F12E7"/>
    <w:rsid w:val="004F1DB8"/>
    <w:rsid w:val="004F2997"/>
    <w:rsid w:val="004F2AC9"/>
    <w:rsid w:val="004F3292"/>
    <w:rsid w:val="004F39C1"/>
    <w:rsid w:val="004F3EDB"/>
    <w:rsid w:val="004F41DD"/>
    <w:rsid w:val="004F55EC"/>
    <w:rsid w:val="004F61DD"/>
    <w:rsid w:val="005004E6"/>
    <w:rsid w:val="00501673"/>
    <w:rsid w:val="005024F2"/>
    <w:rsid w:val="00502569"/>
    <w:rsid w:val="00502D68"/>
    <w:rsid w:val="005035F8"/>
    <w:rsid w:val="00505D2B"/>
    <w:rsid w:val="00506204"/>
    <w:rsid w:val="00507FCB"/>
    <w:rsid w:val="00511171"/>
    <w:rsid w:val="005112B6"/>
    <w:rsid w:val="005119F1"/>
    <w:rsid w:val="00512C1A"/>
    <w:rsid w:val="005136CC"/>
    <w:rsid w:val="00513858"/>
    <w:rsid w:val="00514B37"/>
    <w:rsid w:val="00514EEC"/>
    <w:rsid w:val="00521874"/>
    <w:rsid w:val="00521920"/>
    <w:rsid w:val="005246B1"/>
    <w:rsid w:val="00524F12"/>
    <w:rsid w:val="005266AB"/>
    <w:rsid w:val="00527A8C"/>
    <w:rsid w:val="00530281"/>
    <w:rsid w:val="00530B04"/>
    <w:rsid w:val="005311AA"/>
    <w:rsid w:val="00531AF8"/>
    <w:rsid w:val="00531E03"/>
    <w:rsid w:val="005331D4"/>
    <w:rsid w:val="005337F6"/>
    <w:rsid w:val="005341D1"/>
    <w:rsid w:val="0053529E"/>
    <w:rsid w:val="005362B1"/>
    <w:rsid w:val="0053651F"/>
    <w:rsid w:val="0053683E"/>
    <w:rsid w:val="00537425"/>
    <w:rsid w:val="00537B0D"/>
    <w:rsid w:val="005403E8"/>
    <w:rsid w:val="00541125"/>
    <w:rsid w:val="005421A1"/>
    <w:rsid w:val="00542990"/>
    <w:rsid w:val="00542A98"/>
    <w:rsid w:val="00542F66"/>
    <w:rsid w:val="0054428F"/>
    <w:rsid w:val="0054518F"/>
    <w:rsid w:val="005453C5"/>
    <w:rsid w:val="0054599C"/>
    <w:rsid w:val="00545A84"/>
    <w:rsid w:val="0054703D"/>
    <w:rsid w:val="00547480"/>
    <w:rsid w:val="00551046"/>
    <w:rsid w:val="005512B8"/>
    <w:rsid w:val="0055169D"/>
    <w:rsid w:val="00551EF3"/>
    <w:rsid w:val="005521E2"/>
    <w:rsid w:val="005523E4"/>
    <w:rsid w:val="00553781"/>
    <w:rsid w:val="00553DCA"/>
    <w:rsid w:val="00554084"/>
    <w:rsid w:val="00554611"/>
    <w:rsid w:val="0055659A"/>
    <w:rsid w:val="005565EE"/>
    <w:rsid w:val="0055744A"/>
    <w:rsid w:val="00557E24"/>
    <w:rsid w:val="00560593"/>
    <w:rsid w:val="00560E6F"/>
    <w:rsid w:val="0056163A"/>
    <w:rsid w:val="00562217"/>
    <w:rsid w:val="00563BE5"/>
    <w:rsid w:val="005644EF"/>
    <w:rsid w:val="005649C7"/>
    <w:rsid w:val="00565A00"/>
    <w:rsid w:val="00567397"/>
    <w:rsid w:val="005702B7"/>
    <w:rsid w:val="0057057B"/>
    <w:rsid w:val="0057061D"/>
    <w:rsid w:val="0057072C"/>
    <w:rsid w:val="00570F86"/>
    <w:rsid w:val="00571DF6"/>
    <w:rsid w:val="00573960"/>
    <w:rsid w:val="00573FFA"/>
    <w:rsid w:val="00574FBD"/>
    <w:rsid w:val="0057671A"/>
    <w:rsid w:val="005767B2"/>
    <w:rsid w:val="005773BB"/>
    <w:rsid w:val="00577D46"/>
    <w:rsid w:val="00582636"/>
    <w:rsid w:val="0058346C"/>
    <w:rsid w:val="00583CB2"/>
    <w:rsid w:val="00585C83"/>
    <w:rsid w:val="00586604"/>
    <w:rsid w:val="00586E35"/>
    <w:rsid w:val="00586EBA"/>
    <w:rsid w:val="00586F37"/>
    <w:rsid w:val="005910C8"/>
    <w:rsid w:val="00591E8D"/>
    <w:rsid w:val="00592BF1"/>
    <w:rsid w:val="0059303E"/>
    <w:rsid w:val="00593DC0"/>
    <w:rsid w:val="00595424"/>
    <w:rsid w:val="0059622F"/>
    <w:rsid w:val="00597C03"/>
    <w:rsid w:val="005A1F9D"/>
    <w:rsid w:val="005A21F6"/>
    <w:rsid w:val="005A23BB"/>
    <w:rsid w:val="005A2F5D"/>
    <w:rsid w:val="005A3157"/>
    <w:rsid w:val="005A3798"/>
    <w:rsid w:val="005A440E"/>
    <w:rsid w:val="005A45C1"/>
    <w:rsid w:val="005A5725"/>
    <w:rsid w:val="005A5726"/>
    <w:rsid w:val="005A67E5"/>
    <w:rsid w:val="005A6D7E"/>
    <w:rsid w:val="005A7302"/>
    <w:rsid w:val="005A7C16"/>
    <w:rsid w:val="005A7E55"/>
    <w:rsid w:val="005B0F9F"/>
    <w:rsid w:val="005B1EC8"/>
    <w:rsid w:val="005B434B"/>
    <w:rsid w:val="005B4E0D"/>
    <w:rsid w:val="005B5784"/>
    <w:rsid w:val="005B5BB4"/>
    <w:rsid w:val="005B7851"/>
    <w:rsid w:val="005C211F"/>
    <w:rsid w:val="005C283E"/>
    <w:rsid w:val="005C2844"/>
    <w:rsid w:val="005C5341"/>
    <w:rsid w:val="005C6CB5"/>
    <w:rsid w:val="005C6D98"/>
    <w:rsid w:val="005C7190"/>
    <w:rsid w:val="005C73FB"/>
    <w:rsid w:val="005C7752"/>
    <w:rsid w:val="005C7F3F"/>
    <w:rsid w:val="005D4792"/>
    <w:rsid w:val="005D4B08"/>
    <w:rsid w:val="005D509B"/>
    <w:rsid w:val="005D5338"/>
    <w:rsid w:val="005D6266"/>
    <w:rsid w:val="005D62D7"/>
    <w:rsid w:val="005D6540"/>
    <w:rsid w:val="005D698C"/>
    <w:rsid w:val="005E189B"/>
    <w:rsid w:val="005E1ACB"/>
    <w:rsid w:val="005E2187"/>
    <w:rsid w:val="005E4ABC"/>
    <w:rsid w:val="005E4E31"/>
    <w:rsid w:val="005E4FE9"/>
    <w:rsid w:val="005E52D2"/>
    <w:rsid w:val="005E5696"/>
    <w:rsid w:val="005E6D6E"/>
    <w:rsid w:val="005F19E0"/>
    <w:rsid w:val="005F3D21"/>
    <w:rsid w:val="005F3DA0"/>
    <w:rsid w:val="005F3EB4"/>
    <w:rsid w:val="005F53F7"/>
    <w:rsid w:val="005F57B5"/>
    <w:rsid w:val="005F5A76"/>
    <w:rsid w:val="005F5F2E"/>
    <w:rsid w:val="005F710F"/>
    <w:rsid w:val="005F71EC"/>
    <w:rsid w:val="005F797F"/>
    <w:rsid w:val="005F7AA1"/>
    <w:rsid w:val="00600055"/>
    <w:rsid w:val="006009E6"/>
    <w:rsid w:val="006015EB"/>
    <w:rsid w:val="006025B7"/>
    <w:rsid w:val="00602F10"/>
    <w:rsid w:val="00604FAE"/>
    <w:rsid w:val="006063B8"/>
    <w:rsid w:val="006063D5"/>
    <w:rsid w:val="006072A7"/>
    <w:rsid w:val="00607605"/>
    <w:rsid w:val="00607A34"/>
    <w:rsid w:val="0061001E"/>
    <w:rsid w:val="00610B3C"/>
    <w:rsid w:val="0061227E"/>
    <w:rsid w:val="00612869"/>
    <w:rsid w:val="00612D20"/>
    <w:rsid w:val="006132A6"/>
    <w:rsid w:val="006144FB"/>
    <w:rsid w:val="006146EE"/>
    <w:rsid w:val="00614BB7"/>
    <w:rsid w:val="00614D6C"/>
    <w:rsid w:val="006176AB"/>
    <w:rsid w:val="00617AD5"/>
    <w:rsid w:val="00621598"/>
    <w:rsid w:val="00622319"/>
    <w:rsid w:val="00622A39"/>
    <w:rsid w:val="00622F7F"/>
    <w:rsid w:val="00623394"/>
    <w:rsid w:val="006233D6"/>
    <w:rsid w:val="006234EB"/>
    <w:rsid w:val="0062416A"/>
    <w:rsid w:val="00624EFB"/>
    <w:rsid w:val="006256F8"/>
    <w:rsid w:val="00625FB3"/>
    <w:rsid w:val="00626129"/>
    <w:rsid w:val="00626B94"/>
    <w:rsid w:val="006308F9"/>
    <w:rsid w:val="006317FD"/>
    <w:rsid w:val="00632A52"/>
    <w:rsid w:val="00633BA1"/>
    <w:rsid w:val="00633C18"/>
    <w:rsid w:val="00634414"/>
    <w:rsid w:val="00635ACE"/>
    <w:rsid w:val="00636012"/>
    <w:rsid w:val="00636987"/>
    <w:rsid w:val="00637107"/>
    <w:rsid w:val="00637D30"/>
    <w:rsid w:val="006403DD"/>
    <w:rsid w:val="0064073D"/>
    <w:rsid w:val="00640AE6"/>
    <w:rsid w:val="00640BB6"/>
    <w:rsid w:val="00642FCD"/>
    <w:rsid w:val="006433B2"/>
    <w:rsid w:val="00643E1F"/>
    <w:rsid w:val="00643F1E"/>
    <w:rsid w:val="00643F54"/>
    <w:rsid w:val="0064565E"/>
    <w:rsid w:val="00646C25"/>
    <w:rsid w:val="00646D0E"/>
    <w:rsid w:val="006475BB"/>
    <w:rsid w:val="00650CAA"/>
    <w:rsid w:val="006514F0"/>
    <w:rsid w:val="00652691"/>
    <w:rsid w:val="00652DD9"/>
    <w:rsid w:val="00654145"/>
    <w:rsid w:val="006559C8"/>
    <w:rsid w:val="00657405"/>
    <w:rsid w:val="006605C2"/>
    <w:rsid w:val="0066185B"/>
    <w:rsid w:val="00661864"/>
    <w:rsid w:val="006619F5"/>
    <w:rsid w:val="00661E36"/>
    <w:rsid w:val="00663837"/>
    <w:rsid w:val="00663A00"/>
    <w:rsid w:val="00663B07"/>
    <w:rsid w:val="00664437"/>
    <w:rsid w:val="006645F6"/>
    <w:rsid w:val="00664FA6"/>
    <w:rsid w:val="00665845"/>
    <w:rsid w:val="0066632E"/>
    <w:rsid w:val="006666F0"/>
    <w:rsid w:val="00667342"/>
    <w:rsid w:val="006706DC"/>
    <w:rsid w:val="00671AE1"/>
    <w:rsid w:val="00671BB1"/>
    <w:rsid w:val="006724A7"/>
    <w:rsid w:val="0067313F"/>
    <w:rsid w:val="006732B7"/>
    <w:rsid w:val="00675029"/>
    <w:rsid w:val="006755ED"/>
    <w:rsid w:val="00680BA9"/>
    <w:rsid w:val="00681E5C"/>
    <w:rsid w:val="00681F38"/>
    <w:rsid w:val="00682319"/>
    <w:rsid w:val="006832A4"/>
    <w:rsid w:val="0068391C"/>
    <w:rsid w:val="00683B14"/>
    <w:rsid w:val="0068419D"/>
    <w:rsid w:val="006846E9"/>
    <w:rsid w:val="00686886"/>
    <w:rsid w:val="006872DB"/>
    <w:rsid w:val="00691999"/>
    <w:rsid w:val="006939A5"/>
    <w:rsid w:val="00694C35"/>
    <w:rsid w:val="00695191"/>
    <w:rsid w:val="006953C6"/>
    <w:rsid w:val="00695ED2"/>
    <w:rsid w:val="006972B1"/>
    <w:rsid w:val="0069784E"/>
    <w:rsid w:val="006A03E4"/>
    <w:rsid w:val="006A0DD5"/>
    <w:rsid w:val="006A1022"/>
    <w:rsid w:val="006A1A83"/>
    <w:rsid w:val="006A215C"/>
    <w:rsid w:val="006A2681"/>
    <w:rsid w:val="006A2785"/>
    <w:rsid w:val="006A2C4B"/>
    <w:rsid w:val="006A4168"/>
    <w:rsid w:val="006A4335"/>
    <w:rsid w:val="006A4819"/>
    <w:rsid w:val="006A541C"/>
    <w:rsid w:val="006A55D2"/>
    <w:rsid w:val="006A63D0"/>
    <w:rsid w:val="006B185D"/>
    <w:rsid w:val="006B26FB"/>
    <w:rsid w:val="006B2986"/>
    <w:rsid w:val="006B2DAE"/>
    <w:rsid w:val="006B42B8"/>
    <w:rsid w:val="006B50B9"/>
    <w:rsid w:val="006B6104"/>
    <w:rsid w:val="006B6E87"/>
    <w:rsid w:val="006B763D"/>
    <w:rsid w:val="006B77A6"/>
    <w:rsid w:val="006B7BC4"/>
    <w:rsid w:val="006B7EDD"/>
    <w:rsid w:val="006C1C28"/>
    <w:rsid w:val="006C1F6D"/>
    <w:rsid w:val="006C2F62"/>
    <w:rsid w:val="006C31AA"/>
    <w:rsid w:val="006C4973"/>
    <w:rsid w:val="006C5E5C"/>
    <w:rsid w:val="006D0365"/>
    <w:rsid w:val="006D037D"/>
    <w:rsid w:val="006D2068"/>
    <w:rsid w:val="006D249D"/>
    <w:rsid w:val="006D3725"/>
    <w:rsid w:val="006D4AE1"/>
    <w:rsid w:val="006D52A7"/>
    <w:rsid w:val="006D52D8"/>
    <w:rsid w:val="006D54CD"/>
    <w:rsid w:val="006D5AAB"/>
    <w:rsid w:val="006D7A90"/>
    <w:rsid w:val="006D7ECE"/>
    <w:rsid w:val="006E0111"/>
    <w:rsid w:val="006E08CC"/>
    <w:rsid w:val="006E0C8B"/>
    <w:rsid w:val="006E18CA"/>
    <w:rsid w:val="006E3439"/>
    <w:rsid w:val="006E3709"/>
    <w:rsid w:val="006E3C13"/>
    <w:rsid w:val="006E5EB7"/>
    <w:rsid w:val="006F0139"/>
    <w:rsid w:val="006F0ED7"/>
    <w:rsid w:val="006F214B"/>
    <w:rsid w:val="006F28C7"/>
    <w:rsid w:val="006F2B8C"/>
    <w:rsid w:val="006F2D3B"/>
    <w:rsid w:val="006F42EA"/>
    <w:rsid w:val="006F4D73"/>
    <w:rsid w:val="006F52ED"/>
    <w:rsid w:val="007001DD"/>
    <w:rsid w:val="00700F12"/>
    <w:rsid w:val="00700F14"/>
    <w:rsid w:val="00702744"/>
    <w:rsid w:val="007042ED"/>
    <w:rsid w:val="0070443C"/>
    <w:rsid w:val="007057D3"/>
    <w:rsid w:val="00706B82"/>
    <w:rsid w:val="00706C40"/>
    <w:rsid w:val="00706CFB"/>
    <w:rsid w:val="00710061"/>
    <w:rsid w:val="00711407"/>
    <w:rsid w:val="00712407"/>
    <w:rsid w:val="00712477"/>
    <w:rsid w:val="007139B2"/>
    <w:rsid w:val="00714362"/>
    <w:rsid w:val="007176A8"/>
    <w:rsid w:val="00717C3B"/>
    <w:rsid w:val="0072055A"/>
    <w:rsid w:val="00720BD3"/>
    <w:rsid w:val="0072141D"/>
    <w:rsid w:val="0072168D"/>
    <w:rsid w:val="00721A54"/>
    <w:rsid w:val="00721C75"/>
    <w:rsid w:val="007228DB"/>
    <w:rsid w:val="00723662"/>
    <w:rsid w:val="00723862"/>
    <w:rsid w:val="007262A3"/>
    <w:rsid w:val="007266C4"/>
    <w:rsid w:val="00726936"/>
    <w:rsid w:val="0072705B"/>
    <w:rsid w:val="00727D1F"/>
    <w:rsid w:val="007315FF"/>
    <w:rsid w:val="00731859"/>
    <w:rsid w:val="00732C21"/>
    <w:rsid w:val="00732CD0"/>
    <w:rsid w:val="00733275"/>
    <w:rsid w:val="00734DF2"/>
    <w:rsid w:val="0073511F"/>
    <w:rsid w:val="007353C2"/>
    <w:rsid w:val="00735A4C"/>
    <w:rsid w:val="00735CB1"/>
    <w:rsid w:val="00735CF0"/>
    <w:rsid w:val="0073611C"/>
    <w:rsid w:val="00736D00"/>
    <w:rsid w:val="007401BA"/>
    <w:rsid w:val="0074077E"/>
    <w:rsid w:val="00740904"/>
    <w:rsid w:val="00741B0E"/>
    <w:rsid w:val="00741F74"/>
    <w:rsid w:val="00742672"/>
    <w:rsid w:val="00742E8A"/>
    <w:rsid w:val="007431B7"/>
    <w:rsid w:val="00745482"/>
    <w:rsid w:val="007459F5"/>
    <w:rsid w:val="00746DDC"/>
    <w:rsid w:val="00746ED0"/>
    <w:rsid w:val="007475AA"/>
    <w:rsid w:val="00747C12"/>
    <w:rsid w:val="0075061C"/>
    <w:rsid w:val="00751392"/>
    <w:rsid w:val="00751E98"/>
    <w:rsid w:val="00752B28"/>
    <w:rsid w:val="007531EC"/>
    <w:rsid w:val="00754727"/>
    <w:rsid w:val="00754D25"/>
    <w:rsid w:val="00755961"/>
    <w:rsid w:val="00756A18"/>
    <w:rsid w:val="00757590"/>
    <w:rsid w:val="00760D6A"/>
    <w:rsid w:val="007637DC"/>
    <w:rsid w:val="00763FAC"/>
    <w:rsid w:val="0076474B"/>
    <w:rsid w:val="00764855"/>
    <w:rsid w:val="007652CE"/>
    <w:rsid w:val="0076572D"/>
    <w:rsid w:val="00765936"/>
    <w:rsid w:val="00766A37"/>
    <w:rsid w:val="00766C83"/>
    <w:rsid w:val="00767D1A"/>
    <w:rsid w:val="00767D6C"/>
    <w:rsid w:val="0077091B"/>
    <w:rsid w:val="00770A1E"/>
    <w:rsid w:val="00773056"/>
    <w:rsid w:val="007737D5"/>
    <w:rsid w:val="0077416A"/>
    <w:rsid w:val="0077471C"/>
    <w:rsid w:val="0077569C"/>
    <w:rsid w:val="00775A32"/>
    <w:rsid w:val="00775A54"/>
    <w:rsid w:val="007766E8"/>
    <w:rsid w:val="007769BD"/>
    <w:rsid w:val="00776C05"/>
    <w:rsid w:val="00777139"/>
    <w:rsid w:val="00777BE6"/>
    <w:rsid w:val="007803A1"/>
    <w:rsid w:val="007816ED"/>
    <w:rsid w:val="00781731"/>
    <w:rsid w:val="007821CF"/>
    <w:rsid w:val="00783DAC"/>
    <w:rsid w:val="00784500"/>
    <w:rsid w:val="00785112"/>
    <w:rsid w:val="00785C36"/>
    <w:rsid w:val="00786700"/>
    <w:rsid w:val="00787460"/>
    <w:rsid w:val="007878B9"/>
    <w:rsid w:val="00791403"/>
    <w:rsid w:val="007914DC"/>
    <w:rsid w:val="007931BC"/>
    <w:rsid w:val="00793646"/>
    <w:rsid w:val="00794E75"/>
    <w:rsid w:val="00794EF8"/>
    <w:rsid w:val="0079521E"/>
    <w:rsid w:val="0079606B"/>
    <w:rsid w:val="00796071"/>
    <w:rsid w:val="00796881"/>
    <w:rsid w:val="00796D77"/>
    <w:rsid w:val="007A0CB6"/>
    <w:rsid w:val="007A1510"/>
    <w:rsid w:val="007A2A41"/>
    <w:rsid w:val="007A2B40"/>
    <w:rsid w:val="007A49FC"/>
    <w:rsid w:val="007A4D97"/>
    <w:rsid w:val="007A4F5B"/>
    <w:rsid w:val="007A5289"/>
    <w:rsid w:val="007A5D2F"/>
    <w:rsid w:val="007A5EEA"/>
    <w:rsid w:val="007A6869"/>
    <w:rsid w:val="007A768C"/>
    <w:rsid w:val="007A7853"/>
    <w:rsid w:val="007B048A"/>
    <w:rsid w:val="007B0C19"/>
    <w:rsid w:val="007B2BAC"/>
    <w:rsid w:val="007B2CAC"/>
    <w:rsid w:val="007B2DD3"/>
    <w:rsid w:val="007B310E"/>
    <w:rsid w:val="007B3E6B"/>
    <w:rsid w:val="007B44FB"/>
    <w:rsid w:val="007B4F0C"/>
    <w:rsid w:val="007B68E7"/>
    <w:rsid w:val="007C0E38"/>
    <w:rsid w:val="007C1421"/>
    <w:rsid w:val="007C18E3"/>
    <w:rsid w:val="007C1DEB"/>
    <w:rsid w:val="007C459A"/>
    <w:rsid w:val="007C4859"/>
    <w:rsid w:val="007C4E08"/>
    <w:rsid w:val="007C56A0"/>
    <w:rsid w:val="007C6781"/>
    <w:rsid w:val="007D18E6"/>
    <w:rsid w:val="007D2501"/>
    <w:rsid w:val="007D2F4C"/>
    <w:rsid w:val="007D321F"/>
    <w:rsid w:val="007D3DFF"/>
    <w:rsid w:val="007D3F38"/>
    <w:rsid w:val="007D4DB8"/>
    <w:rsid w:val="007E01FF"/>
    <w:rsid w:val="007E059E"/>
    <w:rsid w:val="007E2197"/>
    <w:rsid w:val="007E3304"/>
    <w:rsid w:val="007E3EDF"/>
    <w:rsid w:val="007E4D1F"/>
    <w:rsid w:val="007E72E9"/>
    <w:rsid w:val="007F0075"/>
    <w:rsid w:val="007F14BA"/>
    <w:rsid w:val="007F1836"/>
    <w:rsid w:val="007F1856"/>
    <w:rsid w:val="007F1E48"/>
    <w:rsid w:val="007F3D79"/>
    <w:rsid w:val="007F40E3"/>
    <w:rsid w:val="007F4313"/>
    <w:rsid w:val="007F4605"/>
    <w:rsid w:val="007F6C7D"/>
    <w:rsid w:val="008002D9"/>
    <w:rsid w:val="008004B5"/>
    <w:rsid w:val="00800FE4"/>
    <w:rsid w:val="00801249"/>
    <w:rsid w:val="00801698"/>
    <w:rsid w:val="008026F6"/>
    <w:rsid w:val="00803F84"/>
    <w:rsid w:val="008043AC"/>
    <w:rsid w:val="00805B61"/>
    <w:rsid w:val="00805E6A"/>
    <w:rsid w:val="00806070"/>
    <w:rsid w:val="00806528"/>
    <w:rsid w:val="00806EE8"/>
    <w:rsid w:val="008106BD"/>
    <w:rsid w:val="00810CCF"/>
    <w:rsid w:val="0081104B"/>
    <w:rsid w:val="00811D89"/>
    <w:rsid w:val="00812EE9"/>
    <w:rsid w:val="00813AEE"/>
    <w:rsid w:val="00814500"/>
    <w:rsid w:val="00814DFE"/>
    <w:rsid w:val="00816A19"/>
    <w:rsid w:val="00820655"/>
    <w:rsid w:val="008211DF"/>
    <w:rsid w:val="00822225"/>
    <w:rsid w:val="0082269A"/>
    <w:rsid w:val="00822AFD"/>
    <w:rsid w:val="00822F77"/>
    <w:rsid w:val="0082354A"/>
    <w:rsid w:val="00823CC9"/>
    <w:rsid w:val="008255D2"/>
    <w:rsid w:val="00825E37"/>
    <w:rsid w:val="008306DA"/>
    <w:rsid w:val="008309A0"/>
    <w:rsid w:val="00832ADC"/>
    <w:rsid w:val="00833AF7"/>
    <w:rsid w:val="00834023"/>
    <w:rsid w:val="008346D1"/>
    <w:rsid w:val="0083524B"/>
    <w:rsid w:val="00835579"/>
    <w:rsid w:val="00836F9B"/>
    <w:rsid w:val="00837487"/>
    <w:rsid w:val="008403D1"/>
    <w:rsid w:val="00840D16"/>
    <w:rsid w:val="00841DA5"/>
    <w:rsid w:val="00842D70"/>
    <w:rsid w:val="00843B20"/>
    <w:rsid w:val="00844106"/>
    <w:rsid w:val="00844B27"/>
    <w:rsid w:val="00844D29"/>
    <w:rsid w:val="00846195"/>
    <w:rsid w:val="008468FB"/>
    <w:rsid w:val="00846FA0"/>
    <w:rsid w:val="008479B6"/>
    <w:rsid w:val="00851FAF"/>
    <w:rsid w:val="00852E07"/>
    <w:rsid w:val="00853DA0"/>
    <w:rsid w:val="00853ECA"/>
    <w:rsid w:val="008547B7"/>
    <w:rsid w:val="00855090"/>
    <w:rsid w:val="00855AA5"/>
    <w:rsid w:val="00856B9B"/>
    <w:rsid w:val="00856FFE"/>
    <w:rsid w:val="00857671"/>
    <w:rsid w:val="0086002F"/>
    <w:rsid w:val="0086032D"/>
    <w:rsid w:val="00861906"/>
    <w:rsid w:val="00861B01"/>
    <w:rsid w:val="00861FAD"/>
    <w:rsid w:val="00863F9D"/>
    <w:rsid w:val="008645F9"/>
    <w:rsid w:val="008658A4"/>
    <w:rsid w:val="0086628A"/>
    <w:rsid w:val="00866854"/>
    <w:rsid w:val="00871279"/>
    <w:rsid w:val="008716A7"/>
    <w:rsid w:val="00872913"/>
    <w:rsid w:val="008734DD"/>
    <w:rsid w:val="00873B7F"/>
    <w:rsid w:val="00873F82"/>
    <w:rsid w:val="00874B7B"/>
    <w:rsid w:val="00874F25"/>
    <w:rsid w:val="00875B3F"/>
    <w:rsid w:val="0087627B"/>
    <w:rsid w:val="00877117"/>
    <w:rsid w:val="00880CA5"/>
    <w:rsid w:val="008817B1"/>
    <w:rsid w:val="008832FA"/>
    <w:rsid w:val="008834BB"/>
    <w:rsid w:val="00883877"/>
    <w:rsid w:val="008840FA"/>
    <w:rsid w:val="008846D2"/>
    <w:rsid w:val="008862EB"/>
    <w:rsid w:val="008878B3"/>
    <w:rsid w:val="008903B2"/>
    <w:rsid w:val="0089052D"/>
    <w:rsid w:val="00890F95"/>
    <w:rsid w:val="008910AC"/>
    <w:rsid w:val="0089311A"/>
    <w:rsid w:val="0089384D"/>
    <w:rsid w:val="00893A0F"/>
    <w:rsid w:val="00893B17"/>
    <w:rsid w:val="008946C3"/>
    <w:rsid w:val="008948E0"/>
    <w:rsid w:val="00894C64"/>
    <w:rsid w:val="0089528C"/>
    <w:rsid w:val="008959EB"/>
    <w:rsid w:val="00897D86"/>
    <w:rsid w:val="008A0089"/>
    <w:rsid w:val="008A76D2"/>
    <w:rsid w:val="008A7C66"/>
    <w:rsid w:val="008B034D"/>
    <w:rsid w:val="008B050D"/>
    <w:rsid w:val="008B0BBC"/>
    <w:rsid w:val="008B13FB"/>
    <w:rsid w:val="008B245C"/>
    <w:rsid w:val="008B4153"/>
    <w:rsid w:val="008B4F64"/>
    <w:rsid w:val="008B5356"/>
    <w:rsid w:val="008B58A6"/>
    <w:rsid w:val="008B609A"/>
    <w:rsid w:val="008B6990"/>
    <w:rsid w:val="008B7927"/>
    <w:rsid w:val="008C0821"/>
    <w:rsid w:val="008C094E"/>
    <w:rsid w:val="008C4770"/>
    <w:rsid w:val="008C58F5"/>
    <w:rsid w:val="008C6920"/>
    <w:rsid w:val="008C6AD1"/>
    <w:rsid w:val="008C71B5"/>
    <w:rsid w:val="008D1D1E"/>
    <w:rsid w:val="008D2BCD"/>
    <w:rsid w:val="008D3D2D"/>
    <w:rsid w:val="008D4644"/>
    <w:rsid w:val="008E217B"/>
    <w:rsid w:val="008E3605"/>
    <w:rsid w:val="008E36B3"/>
    <w:rsid w:val="008E431F"/>
    <w:rsid w:val="008E5E12"/>
    <w:rsid w:val="008E613B"/>
    <w:rsid w:val="008F0D2A"/>
    <w:rsid w:val="008F103A"/>
    <w:rsid w:val="008F12D4"/>
    <w:rsid w:val="008F17A0"/>
    <w:rsid w:val="008F1814"/>
    <w:rsid w:val="008F23EF"/>
    <w:rsid w:val="008F3190"/>
    <w:rsid w:val="008F386F"/>
    <w:rsid w:val="008F44BE"/>
    <w:rsid w:val="008F47EF"/>
    <w:rsid w:val="008F48E1"/>
    <w:rsid w:val="008F5BD0"/>
    <w:rsid w:val="008F627B"/>
    <w:rsid w:val="008F64FD"/>
    <w:rsid w:val="008F6A88"/>
    <w:rsid w:val="008F716F"/>
    <w:rsid w:val="008F7B36"/>
    <w:rsid w:val="008F7FED"/>
    <w:rsid w:val="009003FE"/>
    <w:rsid w:val="009004FA"/>
    <w:rsid w:val="00901955"/>
    <w:rsid w:val="00903C95"/>
    <w:rsid w:val="00904272"/>
    <w:rsid w:val="009046D4"/>
    <w:rsid w:val="00904793"/>
    <w:rsid w:val="009058DB"/>
    <w:rsid w:val="009075B6"/>
    <w:rsid w:val="0091026E"/>
    <w:rsid w:val="009104F7"/>
    <w:rsid w:val="0091058D"/>
    <w:rsid w:val="00911711"/>
    <w:rsid w:val="00911AB7"/>
    <w:rsid w:val="00912B55"/>
    <w:rsid w:val="00913858"/>
    <w:rsid w:val="00913A0F"/>
    <w:rsid w:val="00914959"/>
    <w:rsid w:val="00914BBC"/>
    <w:rsid w:val="00914FD8"/>
    <w:rsid w:val="00915CE6"/>
    <w:rsid w:val="009162DA"/>
    <w:rsid w:val="009168A1"/>
    <w:rsid w:val="00917417"/>
    <w:rsid w:val="00917583"/>
    <w:rsid w:val="00920871"/>
    <w:rsid w:val="0092106C"/>
    <w:rsid w:val="00923BC4"/>
    <w:rsid w:val="00924681"/>
    <w:rsid w:val="00925A4C"/>
    <w:rsid w:val="0092622E"/>
    <w:rsid w:val="00926605"/>
    <w:rsid w:val="00927AA4"/>
    <w:rsid w:val="00930877"/>
    <w:rsid w:val="00930D20"/>
    <w:rsid w:val="009314F2"/>
    <w:rsid w:val="00937012"/>
    <w:rsid w:val="0093753A"/>
    <w:rsid w:val="0094003D"/>
    <w:rsid w:val="00941175"/>
    <w:rsid w:val="0094273F"/>
    <w:rsid w:val="009439B0"/>
    <w:rsid w:val="0094403C"/>
    <w:rsid w:val="009440BF"/>
    <w:rsid w:val="00944954"/>
    <w:rsid w:val="0094555E"/>
    <w:rsid w:val="00945CB0"/>
    <w:rsid w:val="00946012"/>
    <w:rsid w:val="0094667E"/>
    <w:rsid w:val="00946A66"/>
    <w:rsid w:val="00946BD7"/>
    <w:rsid w:val="00946F4B"/>
    <w:rsid w:val="00950D07"/>
    <w:rsid w:val="00951188"/>
    <w:rsid w:val="00951AF4"/>
    <w:rsid w:val="0095234F"/>
    <w:rsid w:val="009525E3"/>
    <w:rsid w:val="009550BB"/>
    <w:rsid w:val="00955CBA"/>
    <w:rsid w:val="00956A95"/>
    <w:rsid w:val="00960F2F"/>
    <w:rsid w:val="009634F6"/>
    <w:rsid w:val="00963B5E"/>
    <w:rsid w:val="00963FA0"/>
    <w:rsid w:val="0096491F"/>
    <w:rsid w:val="00964FCB"/>
    <w:rsid w:val="00970C80"/>
    <w:rsid w:val="00971008"/>
    <w:rsid w:val="00972181"/>
    <w:rsid w:val="00972248"/>
    <w:rsid w:val="009732CE"/>
    <w:rsid w:val="00974E95"/>
    <w:rsid w:val="00975F2D"/>
    <w:rsid w:val="00976962"/>
    <w:rsid w:val="00977BF5"/>
    <w:rsid w:val="009800D7"/>
    <w:rsid w:val="00981F74"/>
    <w:rsid w:val="00981F99"/>
    <w:rsid w:val="00982354"/>
    <w:rsid w:val="00982FEE"/>
    <w:rsid w:val="0098302D"/>
    <w:rsid w:val="009842A2"/>
    <w:rsid w:val="00984EDC"/>
    <w:rsid w:val="00987608"/>
    <w:rsid w:val="0098777A"/>
    <w:rsid w:val="00991426"/>
    <w:rsid w:val="00991891"/>
    <w:rsid w:val="00993AE3"/>
    <w:rsid w:val="00993B07"/>
    <w:rsid w:val="009943A0"/>
    <w:rsid w:val="0099464C"/>
    <w:rsid w:val="009953BC"/>
    <w:rsid w:val="0099543E"/>
    <w:rsid w:val="009963D2"/>
    <w:rsid w:val="00997CC3"/>
    <w:rsid w:val="009A0568"/>
    <w:rsid w:val="009A078C"/>
    <w:rsid w:val="009A0AF9"/>
    <w:rsid w:val="009A16BE"/>
    <w:rsid w:val="009A1E40"/>
    <w:rsid w:val="009A210C"/>
    <w:rsid w:val="009A2337"/>
    <w:rsid w:val="009A2E00"/>
    <w:rsid w:val="009A355A"/>
    <w:rsid w:val="009A3B09"/>
    <w:rsid w:val="009A4AD6"/>
    <w:rsid w:val="009A5369"/>
    <w:rsid w:val="009A557E"/>
    <w:rsid w:val="009A5CE8"/>
    <w:rsid w:val="009A5F69"/>
    <w:rsid w:val="009A5FBE"/>
    <w:rsid w:val="009A7074"/>
    <w:rsid w:val="009A7B5A"/>
    <w:rsid w:val="009A7F79"/>
    <w:rsid w:val="009B0442"/>
    <w:rsid w:val="009B1119"/>
    <w:rsid w:val="009B277A"/>
    <w:rsid w:val="009B2BDC"/>
    <w:rsid w:val="009B2C19"/>
    <w:rsid w:val="009B49A8"/>
    <w:rsid w:val="009B5F5D"/>
    <w:rsid w:val="009B6201"/>
    <w:rsid w:val="009B73BA"/>
    <w:rsid w:val="009C0EEA"/>
    <w:rsid w:val="009C10D9"/>
    <w:rsid w:val="009C1B14"/>
    <w:rsid w:val="009C1FCB"/>
    <w:rsid w:val="009C20A2"/>
    <w:rsid w:val="009C2ED3"/>
    <w:rsid w:val="009C425A"/>
    <w:rsid w:val="009C4F43"/>
    <w:rsid w:val="009C5331"/>
    <w:rsid w:val="009C5CA7"/>
    <w:rsid w:val="009D01D1"/>
    <w:rsid w:val="009D03F8"/>
    <w:rsid w:val="009D096F"/>
    <w:rsid w:val="009D1DF4"/>
    <w:rsid w:val="009D283C"/>
    <w:rsid w:val="009D3971"/>
    <w:rsid w:val="009D43A6"/>
    <w:rsid w:val="009D443B"/>
    <w:rsid w:val="009D7A24"/>
    <w:rsid w:val="009E00E4"/>
    <w:rsid w:val="009E01EA"/>
    <w:rsid w:val="009E0D20"/>
    <w:rsid w:val="009E0F68"/>
    <w:rsid w:val="009E0F6B"/>
    <w:rsid w:val="009E175A"/>
    <w:rsid w:val="009E1DB3"/>
    <w:rsid w:val="009E2422"/>
    <w:rsid w:val="009E2964"/>
    <w:rsid w:val="009E3EB3"/>
    <w:rsid w:val="009E423C"/>
    <w:rsid w:val="009E4660"/>
    <w:rsid w:val="009E5384"/>
    <w:rsid w:val="009E5D18"/>
    <w:rsid w:val="009E7AFF"/>
    <w:rsid w:val="009E7DCD"/>
    <w:rsid w:val="009F14ED"/>
    <w:rsid w:val="009F3249"/>
    <w:rsid w:val="009F55F9"/>
    <w:rsid w:val="009F5CC0"/>
    <w:rsid w:val="009F6842"/>
    <w:rsid w:val="009F6F8B"/>
    <w:rsid w:val="009F7164"/>
    <w:rsid w:val="009F7EB4"/>
    <w:rsid w:val="00A022C3"/>
    <w:rsid w:val="00A0291E"/>
    <w:rsid w:val="00A02F0A"/>
    <w:rsid w:val="00A03509"/>
    <w:rsid w:val="00A06A53"/>
    <w:rsid w:val="00A06A54"/>
    <w:rsid w:val="00A071AC"/>
    <w:rsid w:val="00A103E8"/>
    <w:rsid w:val="00A1074D"/>
    <w:rsid w:val="00A10863"/>
    <w:rsid w:val="00A11172"/>
    <w:rsid w:val="00A127DD"/>
    <w:rsid w:val="00A12D4A"/>
    <w:rsid w:val="00A14E6C"/>
    <w:rsid w:val="00A16482"/>
    <w:rsid w:val="00A167EC"/>
    <w:rsid w:val="00A16D01"/>
    <w:rsid w:val="00A16E2E"/>
    <w:rsid w:val="00A16EE6"/>
    <w:rsid w:val="00A172E6"/>
    <w:rsid w:val="00A17D1C"/>
    <w:rsid w:val="00A2027E"/>
    <w:rsid w:val="00A209A2"/>
    <w:rsid w:val="00A20CBF"/>
    <w:rsid w:val="00A20F0E"/>
    <w:rsid w:val="00A24216"/>
    <w:rsid w:val="00A243C3"/>
    <w:rsid w:val="00A24C8D"/>
    <w:rsid w:val="00A2542A"/>
    <w:rsid w:val="00A25718"/>
    <w:rsid w:val="00A2588A"/>
    <w:rsid w:val="00A2609F"/>
    <w:rsid w:val="00A264B8"/>
    <w:rsid w:val="00A26F15"/>
    <w:rsid w:val="00A277D0"/>
    <w:rsid w:val="00A306B3"/>
    <w:rsid w:val="00A30E37"/>
    <w:rsid w:val="00A317FF"/>
    <w:rsid w:val="00A32930"/>
    <w:rsid w:val="00A32B30"/>
    <w:rsid w:val="00A34641"/>
    <w:rsid w:val="00A34674"/>
    <w:rsid w:val="00A3494F"/>
    <w:rsid w:val="00A34FE1"/>
    <w:rsid w:val="00A35CD2"/>
    <w:rsid w:val="00A35CF8"/>
    <w:rsid w:val="00A35F44"/>
    <w:rsid w:val="00A360E7"/>
    <w:rsid w:val="00A36BC0"/>
    <w:rsid w:val="00A400FB"/>
    <w:rsid w:val="00A43C4F"/>
    <w:rsid w:val="00A43F43"/>
    <w:rsid w:val="00A443D1"/>
    <w:rsid w:val="00A456B3"/>
    <w:rsid w:val="00A46F1C"/>
    <w:rsid w:val="00A47305"/>
    <w:rsid w:val="00A476DC"/>
    <w:rsid w:val="00A47BFE"/>
    <w:rsid w:val="00A50359"/>
    <w:rsid w:val="00A50635"/>
    <w:rsid w:val="00A508FD"/>
    <w:rsid w:val="00A50DBA"/>
    <w:rsid w:val="00A51808"/>
    <w:rsid w:val="00A51D78"/>
    <w:rsid w:val="00A51EA8"/>
    <w:rsid w:val="00A543D1"/>
    <w:rsid w:val="00A549C3"/>
    <w:rsid w:val="00A55DE2"/>
    <w:rsid w:val="00A55E10"/>
    <w:rsid w:val="00A55F1F"/>
    <w:rsid w:val="00A561A8"/>
    <w:rsid w:val="00A562A6"/>
    <w:rsid w:val="00A57045"/>
    <w:rsid w:val="00A60011"/>
    <w:rsid w:val="00A63635"/>
    <w:rsid w:val="00A64106"/>
    <w:rsid w:val="00A6703C"/>
    <w:rsid w:val="00A7007B"/>
    <w:rsid w:val="00A71623"/>
    <w:rsid w:val="00A72135"/>
    <w:rsid w:val="00A73BD7"/>
    <w:rsid w:val="00A73E6D"/>
    <w:rsid w:val="00A7438F"/>
    <w:rsid w:val="00A758B1"/>
    <w:rsid w:val="00A75E9C"/>
    <w:rsid w:val="00A777F4"/>
    <w:rsid w:val="00A81C79"/>
    <w:rsid w:val="00A824D5"/>
    <w:rsid w:val="00A82768"/>
    <w:rsid w:val="00A847A5"/>
    <w:rsid w:val="00A84B87"/>
    <w:rsid w:val="00A84D4B"/>
    <w:rsid w:val="00A84FD0"/>
    <w:rsid w:val="00A8592D"/>
    <w:rsid w:val="00A8629D"/>
    <w:rsid w:val="00A86ABD"/>
    <w:rsid w:val="00A90D08"/>
    <w:rsid w:val="00A91225"/>
    <w:rsid w:val="00A913BA"/>
    <w:rsid w:val="00A91632"/>
    <w:rsid w:val="00A93FFF"/>
    <w:rsid w:val="00A94774"/>
    <w:rsid w:val="00A95196"/>
    <w:rsid w:val="00A95746"/>
    <w:rsid w:val="00A95996"/>
    <w:rsid w:val="00A95A8F"/>
    <w:rsid w:val="00A96769"/>
    <w:rsid w:val="00A96D45"/>
    <w:rsid w:val="00A97045"/>
    <w:rsid w:val="00A973EE"/>
    <w:rsid w:val="00AA0317"/>
    <w:rsid w:val="00AA18DD"/>
    <w:rsid w:val="00AA1F91"/>
    <w:rsid w:val="00AA3687"/>
    <w:rsid w:val="00AA4A07"/>
    <w:rsid w:val="00AA5CE1"/>
    <w:rsid w:val="00AB184B"/>
    <w:rsid w:val="00AB1CB6"/>
    <w:rsid w:val="00AB22C9"/>
    <w:rsid w:val="00AB2D9E"/>
    <w:rsid w:val="00AB31B9"/>
    <w:rsid w:val="00AB4404"/>
    <w:rsid w:val="00AB603C"/>
    <w:rsid w:val="00AB788B"/>
    <w:rsid w:val="00AC0375"/>
    <w:rsid w:val="00AC154C"/>
    <w:rsid w:val="00AC21EE"/>
    <w:rsid w:val="00AC3944"/>
    <w:rsid w:val="00AC3B22"/>
    <w:rsid w:val="00AC3FAD"/>
    <w:rsid w:val="00AC40A4"/>
    <w:rsid w:val="00AC4101"/>
    <w:rsid w:val="00AC48FA"/>
    <w:rsid w:val="00AC4914"/>
    <w:rsid w:val="00AC5597"/>
    <w:rsid w:val="00AC6B4B"/>
    <w:rsid w:val="00AC71C4"/>
    <w:rsid w:val="00AD0116"/>
    <w:rsid w:val="00AD1173"/>
    <w:rsid w:val="00AD1AD4"/>
    <w:rsid w:val="00AD1B42"/>
    <w:rsid w:val="00AD2273"/>
    <w:rsid w:val="00AD2871"/>
    <w:rsid w:val="00AD322C"/>
    <w:rsid w:val="00AD4B84"/>
    <w:rsid w:val="00AD5D06"/>
    <w:rsid w:val="00AD6A16"/>
    <w:rsid w:val="00AE0F1E"/>
    <w:rsid w:val="00AE1753"/>
    <w:rsid w:val="00AE23BE"/>
    <w:rsid w:val="00AE2EAC"/>
    <w:rsid w:val="00AE2EBA"/>
    <w:rsid w:val="00AE5772"/>
    <w:rsid w:val="00AE7EC9"/>
    <w:rsid w:val="00AF07E7"/>
    <w:rsid w:val="00AF0AC0"/>
    <w:rsid w:val="00AF16E0"/>
    <w:rsid w:val="00AF44E8"/>
    <w:rsid w:val="00AF4CA9"/>
    <w:rsid w:val="00AF5B52"/>
    <w:rsid w:val="00AF654B"/>
    <w:rsid w:val="00AF7879"/>
    <w:rsid w:val="00B0079A"/>
    <w:rsid w:val="00B00818"/>
    <w:rsid w:val="00B008BF"/>
    <w:rsid w:val="00B00EC3"/>
    <w:rsid w:val="00B03A1A"/>
    <w:rsid w:val="00B03E13"/>
    <w:rsid w:val="00B0412D"/>
    <w:rsid w:val="00B04283"/>
    <w:rsid w:val="00B04A30"/>
    <w:rsid w:val="00B052BA"/>
    <w:rsid w:val="00B067C0"/>
    <w:rsid w:val="00B07460"/>
    <w:rsid w:val="00B1022B"/>
    <w:rsid w:val="00B10338"/>
    <w:rsid w:val="00B114EC"/>
    <w:rsid w:val="00B1151C"/>
    <w:rsid w:val="00B11E06"/>
    <w:rsid w:val="00B13099"/>
    <w:rsid w:val="00B133B8"/>
    <w:rsid w:val="00B1397D"/>
    <w:rsid w:val="00B1563B"/>
    <w:rsid w:val="00B15EF4"/>
    <w:rsid w:val="00B16195"/>
    <w:rsid w:val="00B161C1"/>
    <w:rsid w:val="00B16978"/>
    <w:rsid w:val="00B16A40"/>
    <w:rsid w:val="00B16BE4"/>
    <w:rsid w:val="00B17023"/>
    <w:rsid w:val="00B170B1"/>
    <w:rsid w:val="00B17EBB"/>
    <w:rsid w:val="00B23606"/>
    <w:rsid w:val="00B237C6"/>
    <w:rsid w:val="00B24A6F"/>
    <w:rsid w:val="00B260D9"/>
    <w:rsid w:val="00B278DB"/>
    <w:rsid w:val="00B30D4F"/>
    <w:rsid w:val="00B30D5C"/>
    <w:rsid w:val="00B32438"/>
    <w:rsid w:val="00B32B37"/>
    <w:rsid w:val="00B33805"/>
    <w:rsid w:val="00B3434E"/>
    <w:rsid w:val="00B34A3E"/>
    <w:rsid w:val="00B351FD"/>
    <w:rsid w:val="00B35BFD"/>
    <w:rsid w:val="00B3653F"/>
    <w:rsid w:val="00B40854"/>
    <w:rsid w:val="00B40B13"/>
    <w:rsid w:val="00B421F2"/>
    <w:rsid w:val="00B42822"/>
    <w:rsid w:val="00B42C54"/>
    <w:rsid w:val="00B4395A"/>
    <w:rsid w:val="00B4553E"/>
    <w:rsid w:val="00B45901"/>
    <w:rsid w:val="00B4610D"/>
    <w:rsid w:val="00B4618E"/>
    <w:rsid w:val="00B46773"/>
    <w:rsid w:val="00B47091"/>
    <w:rsid w:val="00B47E14"/>
    <w:rsid w:val="00B500F9"/>
    <w:rsid w:val="00B5281B"/>
    <w:rsid w:val="00B52BB4"/>
    <w:rsid w:val="00B52C51"/>
    <w:rsid w:val="00B53146"/>
    <w:rsid w:val="00B54256"/>
    <w:rsid w:val="00B545F4"/>
    <w:rsid w:val="00B56303"/>
    <w:rsid w:val="00B56D7B"/>
    <w:rsid w:val="00B56D9D"/>
    <w:rsid w:val="00B573DA"/>
    <w:rsid w:val="00B5749B"/>
    <w:rsid w:val="00B57599"/>
    <w:rsid w:val="00B57FB2"/>
    <w:rsid w:val="00B607B6"/>
    <w:rsid w:val="00B61F2F"/>
    <w:rsid w:val="00B63199"/>
    <w:rsid w:val="00B64F62"/>
    <w:rsid w:val="00B65321"/>
    <w:rsid w:val="00B65D3A"/>
    <w:rsid w:val="00B66898"/>
    <w:rsid w:val="00B67AB6"/>
    <w:rsid w:val="00B7164C"/>
    <w:rsid w:val="00B71BA8"/>
    <w:rsid w:val="00B72CBC"/>
    <w:rsid w:val="00B74C95"/>
    <w:rsid w:val="00B76E14"/>
    <w:rsid w:val="00B76ED2"/>
    <w:rsid w:val="00B770C7"/>
    <w:rsid w:val="00B77EAF"/>
    <w:rsid w:val="00B807AB"/>
    <w:rsid w:val="00B80F53"/>
    <w:rsid w:val="00B8152D"/>
    <w:rsid w:val="00B82E26"/>
    <w:rsid w:val="00B84C78"/>
    <w:rsid w:val="00B87D48"/>
    <w:rsid w:val="00B910F3"/>
    <w:rsid w:val="00B9153A"/>
    <w:rsid w:val="00B91A7C"/>
    <w:rsid w:val="00B92560"/>
    <w:rsid w:val="00B93DB5"/>
    <w:rsid w:val="00B93F2D"/>
    <w:rsid w:val="00B95781"/>
    <w:rsid w:val="00B957F5"/>
    <w:rsid w:val="00B95AC6"/>
    <w:rsid w:val="00B95FB8"/>
    <w:rsid w:val="00B95FBC"/>
    <w:rsid w:val="00B97C44"/>
    <w:rsid w:val="00B97E98"/>
    <w:rsid w:val="00BA05AE"/>
    <w:rsid w:val="00BA0706"/>
    <w:rsid w:val="00BA22F7"/>
    <w:rsid w:val="00BA25CB"/>
    <w:rsid w:val="00BA2FA3"/>
    <w:rsid w:val="00BA46E0"/>
    <w:rsid w:val="00BA527C"/>
    <w:rsid w:val="00BA61AA"/>
    <w:rsid w:val="00BA6418"/>
    <w:rsid w:val="00BA7D18"/>
    <w:rsid w:val="00BB0704"/>
    <w:rsid w:val="00BB1ADF"/>
    <w:rsid w:val="00BB3A8F"/>
    <w:rsid w:val="00BB4259"/>
    <w:rsid w:val="00BB4412"/>
    <w:rsid w:val="00BB5014"/>
    <w:rsid w:val="00BB5572"/>
    <w:rsid w:val="00BB5BA3"/>
    <w:rsid w:val="00BB6909"/>
    <w:rsid w:val="00BC000F"/>
    <w:rsid w:val="00BC00FC"/>
    <w:rsid w:val="00BC2214"/>
    <w:rsid w:val="00BC2543"/>
    <w:rsid w:val="00BC2759"/>
    <w:rsid w:val="00BC2A83"/>
    <w:rsid w:val="00BC65D5"/>
    <w:rsid w:val="00BC69E5"/>
    <w:rsid w:val="00BD020A"/>
    <w:rsid w:val="00BD0AF8"/>
    <w:rsid w:val="00BD0D15"/>
    <w:rsid w:val="00BD33EA"/>
    <w:rsid w:val="00BD5425"/>
    <w:rsid w:val="00BE06A4"/>
    <w:rsid w:val="00BE0CE8"/>
    <w:rsid w:val="00BE193C"/>
    <w:rsid w:val="00BE42FF"/>
    <w:rsid w:val="00BE5E8F"/>
    <w:rsid w:val="00BE7E1F"/>
    <w:rsid w:val="00BF0332"/>
    <w:rsid w:val="00BF25A5"/>
    <w:rsid w:val="00BF2BFE"/>
    <w:rsid w:val="00BF487C"/>
    <w:rsid w:val="00BF5691"/>
    <w:rsid w:val="00BF592C"/>
    <w:rsid w:val="00BF5FCC"/>
    <w:rsid w:val="00BF6689"/>
    <w:rsid w:val="00C021B1"/>
    <w:rsid w:val="00C0244F"/>
    <w:rsid w:val="00C0256C"/>
    <w:rsid w:val="00C04CC3"/>
    <w:rsid w:val="00C069A2"/>
    <w:rsid w:val="00C069EC"/>
    <w:rsid w:val="00C10056"/>
    <w:rsid w:val="00C10797"/>
    <w:rsid w:val="00C1152F"/>
    <w:rsid w:val="00C14B84"/>
    <w:rsid w:val="00C15189"/>
    <w:rsid w:val="00C1628E"/>
    <w:rsid w:val="00C17066"/>
    <w:rsid w:val="00C17416"/>
    <w:rsid w:val="00C1748F"/>
    <w:rsid w:val="00C201F2"/>
    <w:rsid w:val="00C21125"/>
    <w:rsid w:val="00C221D5"/>
    <w:rsid w:val="00C2280A"/>
    <w:rsid w:val="00C23D12"/>
    <w:rsid w:val="00C242B8"/>
    <w:rsid w:val="00C24A95"/>
    <w:rsid w:val="00C2541E"/>
    <w:rsid w:val="00C2652B"/>
    <w:rsid w:val="00C26840"/>
    <w:rsid w:val="00C30598"/>
    <w:rsid w:val="00C343EA"/>
    <w:rsid w:val="00C37145"/>
    <w:rsid w:val="00C37B98"/>
    <w:rsid w:val="00C40A5A"/>
    <w:rsid w:val="00C40C39"/>
    <w:rsid w:val="00C41E71"/>
    <w:rsid w:val="00C4242C"/>
    <w:rsid w:val="00C426D4"/>
    <w:rsid w:val="00C43A5E"/>
    <w:rsid w:val="00C45360"/>
    <w:rsid w:val="00C45648"/>
    <w:rsid w:val="00C45BD8"/>
    <w:rsid w:val="00C45C85"/>
    <w:rsid w:val="00C45D69"/>
    <w:rsid w:val="00C46744"/>
    <w:rsid w:val="00C46DA8"/>
    <w:rsid w:val="00C50281"/>
    <w:rsid w:val="00C51198"/>
    <w:rsid w:val="00C51681"/>
    <w:rsid w:val="00C529AD"/>
    <w:rsid w:val="00C533E6"/>
    <w:rsid w:val="00C53AB3"/>
    <w:rsid w:val="00C549CC"/>
    <w:rsid w:val="00C54DA2"/>
    <w:rsid w:val="00C55BF6"/>
    <w:rsid w:val="00C56730"/>
    <w:rsid w:val="00C56D32"/>
    <w:rsid w:val="00C57427"/>
    <w:rsid w:val="00C57883"/>
    <w:rsid w:val="00C6024F"/>
    <w:rsid w:val="00C60CE3"/>
    <w:rsid w:val="00C61CF9"/>
    <w:rsid w:val="00C61FFE"/>
    <w:rsid w:val="00C6336E"/>
    <w:rsid w:val="00C63D95"/>
    <w:rsid w:val="00C64B94"/>
    <w:rsid w:val="00C650AE"/>
    <w:rsid w:val="00C65B64"/>
    <w:rsid w:val="00C66F13"/>
    <w:rsid w:val="00C6795B"/>
    <w:rsid w:val="00C70460"/>
    <w:rsid w:val="00C7064F"/>
    <w:rsid w:val="00C7070C"/>
    <w:rsid w:val="00C7077F"/>
    <w:rsid w:val="00C70AD5"/>
    <w:rsid w:val="00C72DC1"/>
    <w:rsid w:val="00C7357C"/>
    <w:rsid w:val="00C7380E"/>
    <w:rsid w:val="00C739BF"/>
    <w:rsid w:val="00C7647E"/>
    <w:rsid w:val="00C767FF"/>
    <w:rsid w:val="00C76C24"/>
    <w:rsid w:val="00C80E3F"/>
    <w:rsid w:val="00C81BD1"/>
    <w:rsid w:val="00C82494"/>
    <w:rsid w:val="00C8396C"/>
    <w:rsid w:val="00C8399F"/>
    <w:rsid w:val="00C84C02"/>
    <w:rsid w:val="00C85C21"/>
    <w:rsid w:val="00C86504"/>
    <w:rsid w:val="00C8756C"/>
    <w:rsid w:val="00C90663"/>
    <w:rsid w:val="00C90E2B"/>
    <w:rsid w:val="00C9100B"/>
    <w:rsid w:val="00C91686"/>
    <w:rsid w:val="00C91E41"/>
    <w:rsid w:val="00C924AA"/>
    <w:rsid w:val="00C92E70"/>
    <w:rsid w:val="00C93DCA"/>
    <w:rsid w:val="00C93E64"/>
    <w:rsid w:val="00CA01FC"/>
    <w:rsid w:val="00CA071B"/>
    <w:rsid w:val="00CA0D3D"/>
    <w:rsid w:val="00CA0DD1"/>
    <w:rsid w:val="00CA1624"/>
    <w:rsid w:val="00CA304C"/>
    <w:rsid w:val="00CA5466"/>
    <w:rsid w:val="00CA54CC"/>
    <w:rsid w:val="00CA5904"/>
    <w:rsid w:val="00CA734B"/>
    <w:rsid w:val="00CB0475"/>
    <w:rsid w:val="00CB0CC3"/>
    <w:rsid w:val="00CB1003"/>
    <w:rsid w:val="00CB1B1E"/>
    <w:rsid w:val="00CB1DB5"/>
    <w:rsid w:val="00CB221B"/>
    <w:rsid w:val="00CB2C4F"/>
    <w:rsid w:val="00CB3583"/>
    <w:rsid w:val="00CB3886"/>
    <w:rsid w:val="00CB4218"/>
    <w:rsid w:val="00CB4540"/>
    <w:rsid w:val="00CB6A8C"/>
    <w:rsid w:val="00CB72F0"/>
    <w:rsid w:val="00CC0B10"/>
    <w:rsid w:val="00CC1031"/>
    <w:rsid w:val="00CC157D"/>
    <w:rsid w:val="00CC34FF"/>
    <w:rsid w:val="00CC3ABC"/>
    <w:rsid w:val="00CC44F0"/>
    <w:rsid w:val="00CC57DC"/>
    <w:rsid w:val="00CC6DB2"/>
    <w:rsid w:val="00CD0E5B"/>
    <w:rsid w:val="00CD0FE9"/>
    <w:rsid w:val="00CD23C8"/>
    <w:rsid w:val="00CD299C"/>
    <w:rsid w:val="00CD29E4"/>
    <w:rsid w:val="00CD2C49"/>
    <w:rsid w:val="00CD3105"/>
    <w:rsid w:val="00CD396E"/>
    <w:rsid w:val="00CD3B08"/>
    <w:rsid w:val="00CD3C38"/>
    <w:rsid w:val="00CD46F6"/>
    <w:rsid w:val="00CD5104"/>
    <w:rsid w:val="00CD6046"/>
    <w:rsid w:val="00CD60D3"/>
    <w:rsid w:val="00CD6EA2"/>
    <w:rsid w:val="00CD7A85"/>
    <w:rsid w:val="00CE06A5"/>
    <w:rsid w:val="00CE0DF1"/>
    <w:rsid w:val="00CE202E"/>
    <w:rsid w:val="00CE2229"/>
    <w:rsid w:val="00CE28F2"/>
    <w:rsid w:val="00CE36A3"/>
    <w:rsid w:val="00CE374E"/>
    <w:rsid w:val="00CE46C7"/>
    <w:rsid w:val="00CE475A"/>
    <w:rsid w:val="00CE490D"/>
    <w:rsid w:val="00CF0447"/>
    <w:rsid w:val="00CF0534"/>
    <w:rsid w:val="00CF0805"/>
    <w:rsid w:val="00CF1990"/>
    <w:rsid w:val="00CF1DF8"/>
    <w:rsid w:val="00CF3718"/>
    <w:rsid w:val="00CF3FF0"/>
    <w:rsid w:val="00CF41AF"/>
    <w:rsid w:val="00CF4567"/>
    <w:rsid w:val="00CF48D7"/>
    <w:rsid w:val="00CF53AB"/>
    <w:rsid w:val="00CF6815"/>
    <w:rsid w:val="00D04520"/>
    <w:rsid w:val="00D04D3D"/>
    <w:rsid w:val="00D05359"/>
    <w:rsid w:val="00D05371"/>
    <w:rsid w:val="00D06C45"/>
    <w:rsid w:val="00D101C7"/>
    <w:rsid w:val="00D10C84"/>
    <w:rsid w:val="00D1143A"/>
    <w:rsid w:val="00D11B02"/>
    <w:rsid w:val="00D1202C"/>
    <w:rsid w:val="00D12617"/>
    <w:rsid w:val="00D12AFE"/>
    <w:rsid w:val="00D131F0"/>
    <w:rsid w:val="00D13BF3"/>
    <w:rsid w:val="00D14767"/>
    <w:rsid w:val="00D154B6"/>
    <w:rsid w:val="00D161B2"/>
    <w:rsid w:val="00D16DDF"/>
    <w:rsid w:val="00D16E24"/>
    <w:rsid w:val="00D171B6"/>
    <w:rsid w:val="00D17AC6"/>
    <w:rsid w:val="00D17F75"/>
    <w:rsid w:val="00D200C0"/>
    <w:rsid w:val="00D20486"/>
    <w:rsid w:val="00D211F3"/>
    <w:rsid w:val="00D21AA0"/>
    <w:rsid w:val="00D22653"/>
    <w:rsid w:val="00D228D8"/>
    <w:rsid w:val="00D2547D"/>
    <w:rsid w:val="00D26FA7"/>
    <w:rsid w:val="00D31439"/>
    <w:rsid w:val="00D33285"/>
    <w:rsid w:val="00D33677"/>
    <w:rsid w:val="00D35633"/>
    <w:rsid w:val="00D36BDD"/>
    <w:rsid w:val="00D3706F"/>
    <w:rsid w:val="00D373EC"/>
    <w:rsid w:val="00D40FFE"/>
    <w:rsid w:val="00D4180D"/>
    <w:rsid w:val="00D41B01"/>
    <w:rsid w:val="00D42875"/>
    <w:rsid w:val="00D42B44"/>
    <w:rsid w:val="00D4390C"/>
    <w:rsid w:val="00D4425A"/>
    <w:rsid w:val="00D44A14"/>
    <w:rsid w:val="00D46E0B"/>
    <w:rsid w:val="00D4710E"/>
    <w:rsid w:val="00D47738"/>
    <w:rsid w:val="00D47A1A"/>
    <w:rsid w:val="00D47D36"/>
    <w:rsid w:val="00D502EB"/>
    <w:rsid w:val="00D51A9B"/>
    <w:rsid w:val="00D51D95"/>
    <w:rsid w:val="00D521A2"/>
    <w:rsid w:val="00D53EC6"/>
    <w:rsid w:val="00D53F05"/>
    <w:rsid w:val="00D54593"/>
    <w:rsid w:val="00D5545A"/>
    <w:rsid w:val="00D55A00"/>
    <w:rsid w:val="00D56F77"/>
    <w:rsid w:val="00D57F5A"/>
    <w:rsid w:val="00D606E9"/>
    <w:rsid w:val="00D60997"/>
    <w:rsid w:val="00D60D00"/>
    <w:rsid w:val="00D60DB3"/>
    <w:rsid w:val="00D61E9F"/>
    <w:rsid w:val="00D62A2D"/>
    <w:rsid w:val="00D62CC8"/>
    <w:rsid w:val="00D63232"/>
    <w:rsid w:val="00D6402F"/>
    <w:rsid w:val="00D643EA"/>
    <w:rsid w:val="00D64983"/>
    <w:rsid w:val="00D656E2"/>
    <w:rsid w:val="00D7047A"/>
    <w:rsid w:val="00D719E9"/>
    <w:rsid w:val="00D72225"/>
    <w:rsid w:val="00D73550"/>
    <w:rsid w:val="00D7474A"/>
    <w:rsid w:val="00D76E6E"/>
    <w:rsid w:val="00D8061A"/>
    <w:rsid w:val="00D80E3D"/>
    <w:rsid w:val="00D838F7"/>
    <w:rsid w:val="00D845DA"/>
    <w:rsid w:val="00D8479E"/>
    <w:rsid w:val="00D868F1"/>
    <w:rsid w:val="00D8797D"/>
    <w:rsid w:val="00D87EFF"/>
    <w:rsid w:val="00D90F47"/>
    <w:rsid w:val="00D91AE6"/>
    <w:rsid w:val="00D929F0"/>
    <w:rsid w:val="00D93BAC"/>
    <w:rsid w:val="00D941E0"/>
    <w:rsid w:val="00D95840"/>
    <w:rsid w:val="00D963AA"/>
    <w:rsid w:val="00DA1535"/>
    <w:rsid w:val="00DA1603"/>
    <w:rsid w:val="00DA2B67"/>
    <w:rsid w:val="00DA3C9A"/>
    <w:rsid w:val="00DA4C34"/>
    <w:rsid w:val="00DA4D35"/>
    <w:rsid w:val="00DA554C"/>
    <w:rsid w:val="00DA589B"/>
    <w:rsid w:val="00DA5980"/>
    <w:rsid w:val="00DA5BF6"/>
    <w:rsid w:val="00DA5F07"/>
    <w:rsid w:val="00DA6C19"/>
    <w:rsid w:val="00DA6E11"/>
    <w:rsid w:val="00DA79E6"/>
    <w:rsid w:val="00DB0DBA"/>
    <w:rsid w:val="00DB0EF6"/>
    <w:rsid w:val="00DB2668"/>
    <w:rsid w:val="00DB2CE5"/>
    <w:rsid w:val="00DB30C8"/>
    <w:rsid w:val="00DB42FB"/>
    <w:rsid w:val="00DB520B"/>
    <w:rsid w:val="00DB6367"/>
    <w:rsid w:val="00DB6B0E"/>
    <w:rsid w:val="00DB7AEE"/>
    <w:rsid w:val="00DC04E4"/>
    <w:rsid w:val="00DC1187"/>
    <w:rsid w:val="00DC1C1A"/>
    <w:rsid w:val="00DC2719"/>
    <w:rsid w:val="00DC39C4"/>
    <w:rsid w:val="00DC4568"/>
    <w:rsid w:val="00DC5E42"/>
    <w:rsid w:val="00DC6AFC"/>
    <w:rsid w:val="00DC6D29"/>
    <w:rsid w:val="00DC78BA"/>
    <w:rsid w:val="00DD0910"/>
    <w:rsid w:val="00DD0941"/>
    <w:rsid w:val="00DD0CC5"/>
    <w:rsid w:val="00DD12F1"/>
    <w:rsid w:val="00DD1C47"/>
    <w:rsid w:val="00DD2826"/>
    <w:rsid w:val="00DD3BCF"/>
    <w:rsid w:val="00DD41F8"/>
    <w:rsid w:val="00DD49FE"/>
    <w:rsid w:val="00DD643B"/>
    <w:rsid w:val="00DD6B5E"/>
    <w:rsid w:val="00DE0602"/>
    <w:rsid w:val="00DE0E3C"/>
    <w:rsid w:val="00DE1038"/>
    <w:rsid w:val="00DE13E8"/>
    <w:rsid w:val="00DE15A9"/>
    <w:rsid w:val="00DE3EB5"/>
    <w:rsid w:val="00DE4BF6"/>
    <w:rsid w:val="00DE52A5"/>
    <w:rsid w:val="00DE5325"/>
    <w:rsid w:val="00DE5D46"/>
    <w:rsid w:val="00DE69D0"/>
    <w:rsid w:val="00DE6FFB"/>
    <w:rsid w:val="00DE7070"/>
    <w:rsid w:val="00DE77A3"/>
    <w:rsid w:val="00DF02F6"/>
    <w:rsid w:val="00DF0993"/>
    <w:rsid w:val="00DF163F"/>
    <w:rsid w:val="00DF21B8"/>
    <w:rsid w:val="00DF2438"/>
    <w:rsid w:val="00DF284F"/>
    <w:rsid w:val="00DF31EE"/>
    <w:rsid w:val="00DF3395"/>
    <w:rsid w:val="00DF6547"/>
    <w:rsid w:val="00DF67F2"/>
    <w:rsid w:val="00DF7681"/>
    <w:rsid w:val="00E00443"/>
    <w:rsid w:val="00E00BE0"/>
    <w:rsid w:val="00E02D36"/>
    <w:rsid w:val="00E03431"/>
    <w:rsid w:val="00E04625"/>
    <w:rsid w:val="00E04E43"/>
    <w:rsid w:val="00E05414"/>
    <w:rsid w:val="00E05A95"/>
    <w:rsid w:val="00E05E74"/>
    <w:rsid w:val="00E0642C"/>
    <w:rsid w:val="00E065D9"/>
    <w:rsid w:val="00E0684E"/>
    <w:rsid w:val="00E0737B"/>
    <w:rsid w:val="00E07918"/>
    <w:rsid w:val="00E079AA"/>
    <w:rsid w:val="00E1050E"/>
    <w:rsid w:val="00E11753"/>
    <w:rsid w:val="00E12241"/>
    <w:rsid w:val="00E1241D"/>
    <w:rsid w:val="00E13264"/>
    <w:rsid w:val="00E13D0D"/>
    <w:rsid w:val="00E149CE"/>
    <w:rsid w:val="00E15B7F"/>
    <w:rsid w:val="00E16AC4"/>
    <w:rsid w:val="00E16C2A"/>
    <w:rsid w:val="00E16D94"/>
    <w:rsid w:val="00E17C58"/>
    <w:rsid w:val="00E20468"/>
    <w:rsid w:val="00E20E7B"/>
    <w:rsid w:val="00E2178D"/>
    <w:rsid w:val="00E220B7"/>
    <w:rsid w:val="00E2263B"/>
    <w:rsid w:val="00E2271A"/>
    <w:rsid w:val="00E2282A"/>
    <w:rsid w:val="00E22DDE"/>
    <w:rsid w:val="00E234AD"/>
    <w:rsid w:val="00E23958"/>
    <w:rsid w:val="00E23AD4"/>
    <w:rsid w:val="00E23BEC"/>
    <w:rsid w:val="00E23EC3"/>
    <w:rsid w:val="00E24E4D"/>
    <w:rsid w:val="00E24F6A"/>
    <w:rsid w:val="00E25D14"/>
    <w:rsid w:val="00E25F8C"/>
    <w:rsid w:val="00E2618B"/>
    <w:rsid w:val="00E267F1"/>
    <w:rsid w:val="00E26938"/>
    <w:rsid w:val="00E26DD6"/>
    <w:rsid w:val="00E2744C"/>
    <w:rsid w:val="00E27EDD"/>
    <w:rsid w:val="00E332F9"/>
    <w:rsid w:val="00E3396A"/>
    <w:rsid w:val="00E34132"/>
    <w:rsid w:val="00E351DE"/>
    <w:rsid w:val="00E353CB"/>
    <w:rsid w:val="00E35C1C"/>
    <w:rsid w:val="00E36423"/>
    <w:rsid w:val="00E3704F"/>
    <w:rsid w:val="00E37086"/>
    <w:rsid w:val="00E40631"/>
    <w:rsid w:val="00E40F41"/>
    <w:rsid w:val="00E41728"/>
    <w:rsid w:val="00E42757"/>
    <w:rsid w:val="00E42772"/>
    <w:rsid w:val="00E42CA7"/>
    <w:rsid w:val="00E44F08"/>
    <w:rsid w:val="00E4722F"/>
    <w:rsid w:val="00E51103"/>
    <w:rsid w:val="00E528AF"/>
    <w:rsid w:val="00E53131"/>
    <w:rsid w:val="00E5420A"/>
    <w:rsid w:val="00E5518E"/>
    <w:rsid w:val="00E56222"/>
    <w:rsid w:val="00E566D8"/>
    <w:rsid w:val="00E57743"/>
    <w:rsid w:val="00E577C9"/>
    <w:rsid w:val="00E62DD3"/>
    <w:rsid w:val="00E6348C"/>
    <w:rsid w:val="00E641D8"/>
    <w:rsid w:val="00E64808"/>
    <w:rsid w:val="00E64B11"/>
    <w:rsid w:val="00E6692C"/>
    <w:rsid w:val="00E669B7"/>
    <w:rsid w:val="00E66D8F"/>
    <w:rsid w:val="00E6742D"/>
    <w:rsid w:val="00E7098E"/>
    <w:rsid w:val="00E71707"/>
    <w:rsid w:val="00E71EF1"/>
    <w:rsid w:val="00E72304"/>
    <w:rsid w:val="00E73017"/>
    <w:rsid w:val="00E731C6"/>
    <w:rsid w:val="00E73A2D"/>
    <w:rsid w:val="00E73E92"/>
    <w:rsid w:val="00E740C4"/>
    <w:rsid w:val="00E74686"/>
    <w:rsid w:val="00E74750"/>
    <w:rsid w:val="00E76686"/>
    <w:rsid w:val="00E76DEE"/>
    <w:rsid w:val="00E77B0E"/>
    <w:rsid w:val="00E77CB7"/>
    <w:rsid w:val="00E80520"/>
    <w:rsid w:val="00E818D4"/>
    <w:rsid w:val="00E81BD0"/>
    <w:rsid w:val="00E81D4A"/>
    <w:rsid w:val="00E8297B"/>
    <w:rsid w:val="00E83C98"/>
    <w:rsid w:val="00E840FE"/>
    <w:rsid w:val="00E841B3"/>
    <w:rsid w:val="00E847DC"/>
    <w:rsid w:val="00E84DBD"/>
    <w:rsid w:val="00E873A0"/>
    <w:rsid w:val="00E90A99"/>
    <w:rsid w:val="00E9124C"/>
    <w:rsid w:val="00E9128A"/>
    <w:rsid w:val="00E9151C"/>
    <w:rsid w:val="00E91BFD"/>
    <w:rsid w:val="00E91C15"/>
    <w:rsid w:val="00E92CE3"/>
    <w:rsid w:val="00E93BF9"/>
    <w:rsid w:val="00E943E8"/>
    <w:rsid w:val="00E945CE"/>
    <w:rsid w:val="00E94C25"/>
    <w:rsid w:val="00E94FAF"/>
    <w:rsid w:val="00E96293"/>
    <w:rsid w:val="00E96638"/>
    <w:rsid w:val="00E96E5C"/>
    <w:rsid w:val="00E97091"/>
    <w:rsid w:val="00E97EDE"/>
    <w:rsid w:val="00EA02C2"/>
    <w:rsid w:val="00EA0340"/>
    <w:rsid w:val="00EA0528"/>
    <w:rsid w:val="00EA0B53"/>
    <w:rsid w:val="00EA0C10"/>
    <w:rsid w:val="00EA17FD"/>
    <w:rsid w:val="00EA304C"/>
    <w:rsid w:val="00EA3098"/>
    <w:rsid w:val="00EA324A"/>
    <w:rsid w:val="00EA347E"/>
    <w:rsid w:val="00EA4E02"/>
    <w:rsid w:val="00EA5279"/>
    <w:rsid w:val="00EA5B61"/>
    <w:rsid w:val="00EA6276"/>
    <w:rsid w:val="00EA64AD"/>
    <w:rsid w:val="00EA6533"/>
    <w:rsid w:val="00EA7C4F"/>
    <w:rsid w:val="00EB048C"/>
    <w:rsid w:val="00EB1599"/>
    <w:rsid w:val="00EB2C5F"/>
    <w:rsid w:val="00EB2C67"/>
    <w:rsid w:val="00EB2E20"/>
    <w:rsid w:val="00EB367C"/>
    <w:rsid w:val="00EB3E48"/>
    <w:rsid w:val="00EB3F2D"/>
    <w:rsid w:val="00EB43BA"/>
    <w:rsid w:val="00EB44BA"/>
    <w:rsid w:val="00EB46D0"/>
    <w:rsid w:val="00EB4700"/>
    <w:rsid w:val="00EB4927"/>
    <w:rsid w:val="00EB5343"/>
    <w:rsid w:val="00EB7F72"/>
    <w:rsid w:val="00EC111A"/>
    <w:rsid w:val="00EC1A20"/>
    <w:rsid w:val="00EC4357"/>
    <w:rsid w:val="00EC49A4"/>
    <w:rsid w:val="00EC4B0D"/>
    <w:rsid w:val="00EC4EF3"/>
    <w:rsid w:val="00EC568D"/>
    <w:rsid w:val="00EC6185"/>
    <w:rsid w:val="00EC7216"/>
    <w:rsid w:val="00ED16C8"/>
    <w:rsid w:val="00ED20C9"/>
    <w:rsid w:val="00ED21EE"/>
    <w:rsid w:val="00ED37BE"/>
    <w:rsid w:val="00ED37E1"/>
    <w:rsid w:val="00ED3B31"/>
    <w:rsid w:val="00ED432E"/>
    <w:rsid w:val="00ED4EC4"/>
    <w:rsid w:val="00ED6C04"/>
    <w:rsid w:val="00EE04B4"/>
    <w:rsid w:val="00EE05FD"/>
    <w:rsid w:val="00EE0856"/>
    <w:rsid w:val="00EE30C6"/>
    <w:rsid w:val="00EE3912"/>
    <w:rsid w:val="00EE4040"/>
    <w:rsid w:val="00EE4094"/>
    <w:rsid w:val="00EE453D"/>
    <w:rsid w:val="00EE4D57"/>
    <w:rsid w:val="00EE4F41"/>
    <w:rsid w:val="00EE53FF"/>
    <w:rsid w:val="00EE5E83"/>
    <w:rsid w:val="00EE6954"/>
    <w:rsid w:val="00EE7092"/>
    <w:rsid w:val="00EF067E"/>
    <w:rsid w:val="00EF2F5C"/>
    <w:rsid w:val="00EF35A8"/>
    <w:rsid w:val="00EF52E2"/>
    <w:rsid w:val="00EF6429"/>
    <w:rsid w:val="00EF683A"/>
    <w:rsid w:val="00EF7590"/>
    <w:rsid w:val="00F009CD"/>
    <w:rsid w:val="00F01744"/>
    <w:rsid w:val="00F019DF"/>
    <w:rsid w:val="00F02000"/>
    <w:rsid w:val="00F0231D"/>
    <w:rsid w:val="00F024CA"/>
    <w:rsid w:val="00F027AA"/>
    <w:rsid w:val="00F03117"/>
    <w:rsid w:val="00F03373"/>
    <w:rsid w:val="00F0354F"/>
    <w:rsid w:val="00F03A86"/>
    <w:rsid w:val="00F03D02"/>
    <w:rsid w:val="00F060F2"/>
    <w:rsid w:val="00F069E4"/>
    <w:rsid w:val="00F06C92"/>
    <w:rsid w:val="00F07B96"/>
    <w:rsid w:val="00F1013F"/>
    <w:rsid w:val="00F10A99"/>
    <w:rsid w:val="00F12673"/>
    <w:rsid w:val="00F138A2"/>
    <w:rsid w:val="00F13C6C"/>
    <w:rsid w:val="00F14B89"/>
    <w:rsid w:val="00F14C80"/>
    <w:rsid w:val="00F154EB"/>
    <w:rsid w:val="00F15915"/>
    <w:rsid w:val="00F1764E"/>
    <w:rsid w:val="00F17906"/>
    <w:rsid w:val="00F20632"/>
    <w:rsid w:val="00F20CB0"/>
    <w:rsid w:val="00F20E56"/>
    <w:rsid w:val="00F215F7"/>
    <w:rsid w:val="00F23738"/>
    <w:rsid w:val="00F3076C"/>
    <w:rsid w:val="00F30846"/>
    <w:rsid w:val="00F30CAB"/>
    <w:rsid w:val="00F316FF"/>
    <w:rsid w:val="00F32479"/>
    <w:rsid w:val="00F327DF"/>
    <w:rsid w:val="00F32E2C"/>
    <w:rsid w:val="00F33121"/>
    <w:rsid w:val="00F33769"/>
    <w:rsid w:val="00F3417A"/>
    <w:rsid w:val="00F351DA"/>
    <w:rsid w:val="00F356D2"/>
    <w:rsid w:val="00F358DA"/>
    <w:rsid w:val="00F3608C"/>
    <w:rsid w:val="00F36DEB"/>
    <w:rsid w:val="00F406FD"/>
    <w:rsid w:val="00F40D24"/>
    <w:rsid w:val="00F414D0"/>
    <w:rsid w:val="00F43059"/>
    <w:rsid w:val="00F43239"/>
    <w:rsid w:val="00F43386"/>
    <w:rsid w:val="00F4441A"/>
    <w:rsid w:val="00F44B64"/>
    <w:rsid w:val="00F453E5"/>
    <w:rsid w:val="00F4722B"/>
    <w:rsid w:val="00F477C9"/>
    <w:rsid w:val="00F47D9D"/>
    <w:rsid w:val="00F50558"/>
    <w:rsid w:val="00F50A8E"/>
    <w:rsid w:val="00F522A8"/>
    <w:rsid w:val="00F52B58"/>
    <w:rsid w:val="00F544D2"/>
    <w:rsid w:val="00F55847"/>
    <w:rsid w:val="00F57142"/>
    <w:rsid w:val="00F5756D"/>
    <w:rsid w:val="00F62D81"/>
    <w:rsid w:val="00F62F79"/>
    <w:rsid w:val="00F630A2"/>
    <w:rsid w:val="00F630BA"/>
    <w:rsid w:val="00F63E46"/>
    <w:rsid w:val="00F643B2"/>
    <w:rsid w:val="00F64734"/>
    <w:rsid w:val="00F652AB"/>
    <w:rsid w:val="00F65942"/>
    <w:rsid w:val="00F65BE2"/>
    <w:rsid w:val="00F65E84"/>
    <w:rsid w:val="00F66BFD"/>
    <w:rsid w:val="00F67651"/>
    <w:rsid w:val="00F72183"/>
    <w:rsid w:val="00F7225A"/>
    <w:rsid w:val="00F722A8"/>
    <w:rsid w:val="00F72AA0"/>
    <w:rsid w:val="00F734D7"/>
    <w:rsid w:val="00F751CD"/>
    <w:rsid w:val="00F75250"/>
    <w:rsid w:val="00F761F7"/>
    <w:rsid w:val="00F76A40"/>
    <w:rsid w:val="00F77282"/>
    <w:rsid w:val="00F808C4"/>
    <w:rsid w:val="00F80B1C"/>
    <w:rsid w:val="00F80C07"/>
    <w:rsid w:val="00F814BB"/>
    <w:rsid w:val="00F82359"/>
    <w:rsid w:val="00F82C1E"/>
    <w:rsid w:val="00F84644"/>
    <w:rsid w:val="00F8595C"/>
    <w:rsid w:val="00F85BC0"/>
    <w:rsid w:val="00F86796"/>
    <w:rsid w:val="00F87264"/>
    <w:rsid w:val="00F908E9"/>
    <w:rsid w:val="00F90DAB"/>
    <w:rsid w:val="00F91DB3"/>
    <w:rsid w:val="00F96295"/>
    <w:rsid w:val="00F96336"/>
    <w:rsid w:val="00F9673E"/>
    <w:rsid w:val="00F96CD5"/>
    <w:rsid w:val="00F96D19"/>
    <w:rsid w:val="00FA56D6"/>
    <w:rsid w:val="00FA595F"/>
    <w:rsid w:val="00FA5F99"/>
    <w:rsid w:val="00FA6C24"/>
    <w:rsid w:val="00FA7420"/>
    <w:rsid w:val="00FB0BAB"/>
    <w:rsid w:val="00FB338F"/>
    <w:rsid w:val="00FB3BA5"/>
    <w:rsid w:val="00FB4052"/>
    <w:rsid w:val="00FB5298"/>
    <w:rsid w:val="00FB651A"/>
    <w:rsid w:val="00FC0673"/>
    <w:rsid w:val="00FC0A3B"/>
    <w:rsid w:val="00FC0CB3"/>
    <w:rsid w:val="00FC16C5"/>
    <w:rsid w:val="00FC1C58"/>
    <w:rsid w:val="00FC2999"/>
    <w:rsid w:val="00FC3345"/>
    <w:rsid w:val="00FC5465"/>
    <w:rsid w:val="00FC55EC"/>
    <w:rsid w:val="00FC697F"/>
    <w:rsid w:val="00FC7251"/>
    <w:rsid w:val="00FC765F"/>
    <w:rsid w:val="00FD1861"/>
    <w:rsid w:val="00FD3DCC"/>
    <w:rsid w:val="00FD3F5C"/>
    <w:rsid w:val="00FD4363"/>
    <w:rsid w:val="00FD49E8"/>
    <w:rsid w:val="00FD5375"/>
    <w:rsid w:val="00FD5B82"/>
    <w:rsid w:val="00FD5C98"/>
    <w:rsid w:val="00FD6117"/>
    <w:rsid w:val="00FD61A3"/>
    <w:rsid w:val="00FD66C9"/>
    <w:rsid w:val="00FD7446"/>
    <w:rsid w:val="00FD79F6"/>
    <w:rsid w:val="00FE0371"/>
    <w:rsid w:val="00FE1258"/>
    <w:rsid w:val="00FE2025"/>
    <w:rsid w:val="00FE31D0"/>
    <w:rsid w:val="00FE3581"/>
    <w:rsid w:val="00FE5D22"/>
    <w:rsid w:val="00FE674A"/>
    <w:rsid w:val="00FE7695"/>
    <w:rsid w:val="00FE7A3F"/>
    <w:rsid w:val="00FE7F1D"/>
    <w:rsid w:val="00FF10F6"/>
    <w:rsid w:val="00FF271D"/>
    <w:rsid w:val="00FF2737"/>
    <w:rsid w:val="00FF27B5"/>
    <w:rsid w:val="00FF3835"/>
    <w:rsid w:val="00FF3D2E"/>
    <w:rsid w:val="00FF4B24"/>
    <w:rsid w:val="00FF4E87"/>
    <w:rsid w:val="00FF5C5C"/>
    <w:rsid w:val="08CE260E"/>
    <w:rsid w:val="09F138D0"/>
    <w:rsid w:val="1132E2FF"/>
    <w:rsid w:val="1AA8F051"/>
    <w:rsid w:val="1AFE1010"/>
    <w:rsid w:val="20722C55"/>
    <w:rsid w:val="23A8DE31"/>
    <w:rsid w:val="25C6A452"/>
    <w:rsid w:val="2D14337F"/>
    <w:rsid w:val="3211D9DA"/>
    <w:rsid w:val="34F7B682"/>
    <w:rsid w:val="38E4D850"/>
    <w:rsid w:val="3C33A8EB"/>
    <w:rsid w:val="40B1078F"/>
    <w:rsid w:val="48A36FC3"/>
    <w:rsid w:val="4A83BC41"/>
    <w:rsid w:val="59DE7332"/>
    <w:rsid w:val="5C5A8AB8"/>
    <w:rsid w:val="605C060B"/>
    <w:rsid w:val="60B4FA58"/>
    <w:rsid w:val="614944C6"/>
    <w:rsid w:val="64B78C15"/>
    <w:rsid w:val="6DABEC87"/>
    <w:rsid w:val="6E13A220"/>
    <w:rsid w:val="6FB74D9D"/>
    <w:rsid w:val="72561ECE"/>
    <w:rsid w:val="736173E6"/>
    <w:rsid w:val="7FC9B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E63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uiPriority="35" w:qFormat="1"/>
    <w:lsdException w:name="table of figures" w:uiPriority="99"/>
    <w:lsdException w:name="footnote reference" w:uiPriority="99"/>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FC1C58"/>
    <w:pPr>
      <w:keepNext/>
      <w:keepLines/>
      <w:spacing w:before="40"/>
      <w:outlineLvl w:val="3"/>
    </w:pPr>
    <w:rPr>
      <w:rFonts w:ascii="Cambria" w:hAnsi="Cambria"/>
      <w:i/>
      <w:iCs/>
      <w:color w:val="365F9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B0412D"/>
    <w:pPr>
      <w:tabs>
        <w:tab w:val="right" w:leader="dot" w:pos="9350"/>
      </w:tabs>
      <w:ind w:left="475"/>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uiPriority w:val="35"/>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uiPriority w:val="99"/>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uiPriority w:val="99"/>
    <w:semiHidden/>
    <w:rsid w:val="0042297B"/>
    <w:rPr>
      <w:sz w:val="16"/>
      <w:szCs w:val="16"/>
    </w:rPr>
  </w:style>
  <w:style w:type="paragraph" w:styleId="CommentText">
    <w:name w:val="annotation text"/>
    <w:basedOn w:val="Normal"/>
    <w:link w:val="CommentTextChar"/>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link w:val="FootnoteTextChar"/>
    <w:uiPriority w:val="99"/>
    <w:semiHidden/>
    <w:rsid w:val="007475AA"/>
    <w:rPr>
      <w:sz w:val="20"/>
      <w:szCs w:val="20"/>
    </w:rPr>
  </w:style>
  <w:style w:type="character" w:styleId="FootnoteReference">
    <w:name w:val="footnote reference"/>
    <w:uiPriority w:val="99"/>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CB4218"/>
    <w:pPr>
      <w:ind w:left="720"/>
      <w:contextualSpacing/>
    </w:pPr>
  </w:style>
  <w:style w:type="character" w:styleId="PlaceholderText">
    <w:name w:val="Placeholder Text"/>
    <w:uiPriority w:val="99"/>
    <w:semiHidden/>
    <w:rsid w:val="00322FB9"/>
    <w:rPr>
      <w:color w:val="808080"/>
    </w:rPr>
  </w:style>
  <w:style w:type="character" w:customStyle="1" w:styleId="breadcrumbs">
    <w:name w:val="breadcrumbs"/>
    <w:rsid w:val="00FA5F99"/>
  </w:style>
  <w:style w:type="table" w:customStyle="1" w:styleId="TableGrid1">
    <w:name w:val="Table Grid1"/>
    <w:basedOn w:val="TableNormal"/>
    <w:next w:val="TableGrid"/>
    <w:rsid w:val="005C719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7471C"/>
    <w:rPr>
      <w:sz w:val="24"/>
      <w:szCs w:val="24"/>
    </w:rPr>
  </w:style>
  <w:style w:type="paragraph" w:customStyle="1" w:styleId="Default">
    <w:name w:val="Default"/>
    <w:rsid w:val="001F3189"/>
    <w:pPr>
      <w:autoSpaceDE w:val="0"/>
      <w:autoSpaceDN w:val="0"/>
      <w:adjustRightInd w:val="0"/>
    </w:pPr>
    <w:rPr>
      <w:rFonts w:ascii="Arial" w:hAnsi="Arial" w:cs="Arial"/>
      <w:color w:val="000000"/>
      <w:sz w:val="24"/>
      <w:szCs w:val="24"/>
    </w:rPr>
  </w:style>
  <w:style w:type="character" w:customStyle="1" w:styleId="UnresolvedMention1">
    <w:name w:val="Unresolved Mention1"/>
    <w:uiPriority w:val="99"/>
    <w:semiHidden/>
    <w:unhideWhenUsed/>
    <w:rsid w:val="00E26DD6"/>
    <w:rPr>
      <w:color w:val="808080"/>
      <w:shd w:val="clear" w:color="auto" w:fill="E6E6E6"/>
    </w:rPr>
  </w:style>
  <w:style w:type="character" w:customStyle="1" w:styleId="CommentTextChar">
    <w:name w:val="Comment Text Char"/>
    <w:basedOn w:val="DefaultParagraphFont"/>
    <w:link w:val="CommentText"/>
    <w:uiPriority w:val="99"/>
    <w:rsid w:val="005F710F"/>
  </w:style>
  <w:style w:type="character" w:customStyle="1" w:styleId="UnresolvedMention2">
    <w:name w:val="Unresolved Mention2"/>
    <w:uiPriority w:val="99"/>
    <w:semiHidden/>
    <w:unhideWhenUsed/>
    <w:rsid w:val="004B3F3D"/>
    <w:rPr>
      <w:color w:val="808080"/>
      <w:shd w:val="clear" w:color="auto" w:fill="E6E6E6"/>
    </w:rPr>
  </w:style>
  <w:style w:type="character" w:customStyle="1" w:styleId="FootnoteTextChar">
    <w:name w:val="Footnote Text Char"/>
    <w:basedOn w:val="DefaultParagraphFont"/>
    <w:link w:val="FootnoteText"/>
    <w:uiPriority w:val="99"/>
    <w:semiHidden/>
    <w:rsid w:val="00661E36"/>
  </w:style>
  <w:style w:type="character" w:customStyle="1" w:styleId="UnresolvedMention3">
    <w:name w:val="Unresolved Mention3"/>
    <w:uiPriority w:val="99"/>
    <w:semiHidden/>
    <w:unhideWhenUsed/>
    <w:rsid w:val="00855090"/>
    <w:rPr>
      <w:color w:val="808080"/>
      <w:shd w:val="clear" w:color="auto" w:fill="E6E6E6"/>
    </w:rPr>
  </w:style>
  <w:style w:type="character" w:customStyle="1" w:styleId="UnresolvedMention4">
    <w:name w:val="Unresolved Mention4"/>
    <w:uiPriority w:val="99"/>
    <w:semiHidden/>
    <w:unhideWhenUsed/>
    <w:rsid w:val="00A476DC"/>
    <w:rPr>
      <w:color w:val="808080"/>
      <w:shd w:val="clear" w:color="auto" w:fill="E6E6E6"/>
    </w:rPr>
  </w:style>
  <w:style w:type="character" w:customStyle="1" w:styleId="FooterChar">
    <w:name w:val="Footer Char"/>
    <w:link w:val="Footer"/>
    <w:uiPriority w:val="99"/>
    <w:rsid w:val="002E3FD5"/>
    <w:rPr>
      <w:sz w:val="24"/>
      <w:szCs w:val="24"/>
    </w:rPr>
  </w:style>
  <w:style w:type="character" w:customStyle="1" w:styleId="UnresolvedMention5">
    <w:name w:val="Unresolved Mention5"/>
    <w:uiPriority w:val="99"/>
    <w:semiHidden/>
    <w:unhideWhenUsed/>
    <w:rsid w:val="004915B9"/>
    <w:rPr>
      <w:color w:val="808080"/>
      <w:shd w:val="clear" w:color="auto" w:fill="E6E6E6"/>
    </w:rPr>
  </w:style>
  <w:style w:type="character" w:customStyle="1" w:styleId="UnresolvedMention6">
    <w:name w:val="Unresolved Mention6"/>
    <w:uiPriority w:val="99"/>
    <w:semiHidden/>
    <w:unhideWhenUsed/>
    <w:rsid w:val="00080CC7"/>
    <w:rPr>
      <w:color w:val="808080"/>
      <w:shd w:val="clear" w:color="auto" w:fill="E6E6E6"/>
    </w:rPr>
  </w:style>
  <w:style w:type="character" w:customStyle="1" w:styleId="Heading4Char">
    <w:name w:val="Heading 4 Char"/>
    <w:link w:val="Heading4"/>
    <w:semiHidden/>
    <w:rsid w:val="00FC1C58"/>
    <w:rPr>
      <w:rFonts w:ascii="Cambria" w:eastAsia="Times New Roman" w:hAnsi="Cambria" w:cs="Times New Roman"/>
      <w:i/>
      <w:iCs/>
      <w:color w:val="365F9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uiPriority="35" w:qFormat="1"/>
    <w:lsdException w:name="table of figures" w:uiPriority="99"/>
    <w:lsdException w:name="footnote reference" w:uiPriority="99"/>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FC1C58"/>
    <w:pPr>
      <w:keepNext/>
      <w:keepLines/>
      <w:spacing w:before="40"/>
      <w:outlineLvl w:val="3"/>
    </w:pPr>
    <w:rPr>
      <w:rFonts w:ascii="Cambria" w:hAnsi="Cambria"/>
      <w:i/>
      <w:iCs/>
      <w:color w:val="365F9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B0412D"/>
    <w:pPr>
      <w:tabs>
        <w:tab w:val="right" w:leader="dot" w:pos="9350"/>
      </w:tabs>
      <w:ind w:left="475"/>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uiPriority w:val="35"/>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uiPriority w:val="99"/>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uiPriority w:val="99"/>
    <w:semiHidden/>
    <w:rsid w:val="0042297B"/>
    <w:rPr>
      <w:sz w:val="16"/>
      <w:szCs w:val="16"/>
    </w:rPr>
  </w:style>
  <w:style w:type="paragraph" w:styleId="CommentText">
    <w:name w:val="annotation text"/>
    <w:basedOn w:val="Normal"/>
    <w:link w:val="CommentTextChar"/>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link w:val="FootnoteTextChar"/>
    <w:uiPriority w:val="99"/>
    <w:semiHidden/>
    <w:rsid w:val="007475AA"/>
    <w:rPr>
      <w:sz w:val="20"/>
      <w:szCs w:val="20"/>
    </w:rPr>
  </w:style>
  <w:style w:type="character" w:styleId="FootnoteReference">
    <w:name w:val="footnote reference"/>
    <w:uiPriority w:val="99"/>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CB4218"/>
    <w:pPr>
      <w:ind w:left="720"/>
      <w:contextualSpacing/>
    </w:pPr>
  </w:style>
  <w:style w:type="character" w:styleId="PlaceholderText">
    <w:name w:val="Placeholder Text"/>
    <w:uiPriority w:val="99"/>
    <w:semiHidden/>
    <w:rsid w:val="00322FB9"/>
    <w:rPr>
      <w:color w:val="808080"/>
    </w:rPr>
  </w:style>
  <w:style w:type="character" w:customStyle="1" w:styleId="breadcrumbs">
    <w:name w:val="breadcrumbs"/>
    <w:rsid w:val="00FA5F99"/>
  </w:style>
  <w:style w:type="table" w:customStyle="1" w:styleId="TableGrid1">
    <w:name w:val="Table Grid1"/>
    <w:basedOn w:val="TableNormal"/>
    <w:next w:val="TableGrid"/>
    <w:rsid w:val="005C719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7471C"/>
    <w:rPr>
      <w:sz w:val="24"/>
      <w:szCs w:val="24"/>
    </w:rPr>
  </w:style>
  <w:style w:type="paragraph" w:customStyle="1" w:styleId="Default">
    <w:name w:val="Default"/>
    <w:rsid w:val="001F3189"/>
    <w:pPr>
      <w:autoSpaceDE w:val="0"/>
      <w:autoSpaceDN w:val="0"/>
      <w:adjustRightInd w:val="0"/>
    </w:pPr>
    <w:rPr>
      <w:rFonts w:ascii="Arial" w:hAnsi="Arial" w:cs="Arial"/>
      <w:color w:val="000000"/>
      <w:sz w:val="24"/>
      <w:szCs w:val="24"/>
    </w:rPr>
  </w:style>
  <w:style w:type="character" w:customStyle="1" w:styleId="UnresolvedMention1">
    <w:name w:val="Unresolved Mention1"/>
    <w:uiPriority w:val="99"/>
    <w:semiHidden/>
    <w:unhideWhenUsed/>
    <w:rsid w:val="00E26DD6"/>
    <w:rPr>
      <w:color w:val="808080"/>
      <w:shd w:val="clear" w:color="auto" w:fill="E6E6E6"/>
    </w:rPr>
  </w:style>
  <w:style w:type="character" w:customStyle="1" w:styleId="CommentTextChar">
    <w:name w:val="Comment Text Char"/>
    <w:basedOn w:val="DefaultParagraphFont"/>
    <w:link w:val="CommentText"/>
    <w:uiPriority w:val="99"/>
    <w:rsid w:val="005F710F"/>
  </w:style>
  <w:style w:type="character" w:customStyle="1" w:styleId="UnresolvedMention2">
    <w:name w:val="Unresolved Mention2"/>
    <w:uiPriority w:val="99"/>
    <w:semiHidden/>
    <w:unhideWhenUsed/>
    <w:rsid w:val="004B3F3D"/>
    <w:rPr>
      <w:color w:val="808080"/>
      <w:shd w:val="clear" w:color="auto" w:fill="E6E6E6"/>
    </w:rPr>
  </w:style>
  <w:style w:type="character" w:customStyle="1" w:styleId="FootnoteTextChar">
    <w:name w:val="Footnote Text Char"/>
    <w:basedOn w:val="DefaultParagraphFont"/>
    <w:link w:val="FootnoteText"/>
    <w:uiPriority w:val="99"/>
    <w:semiHidden/>
    <w:rsid w:val="00661E36"/>
  </w:style>
  <w:style w:type="character" w:customStyle="1" w:styleId="UnresolvedMention3">
    <w:name w:val="Unresolved Mention3"/>
    <w:uiPriority w:val="99"/>
    <w:semiHidden/>
    <w:unhideWhenUsed/>
    <w:rsid w:val="00855090"/>
    <w:rPr>
      <w:color w:val="808080"/>
      <w:shd w:val="clear" w:color="auto" w:fill="E6E6E6"/>
    </w:rPr>
  </w:style>
  <w:style w:type="character" w:customStyle="1" w:styleId="UnresolvedMention4">
    <w:name w:val="Unresolved Mention4"/>
    <w:uiPriority w:val="99"/>
    <w:semiHidden/>
    <w:unhideWhenUsed/>
    <w:rsid w:val="00A476DC"/>
    <w:rPr>
      <w:color w:val="808080"/>
      <w:shd w:val="clear" w:color="auto" w:fill="E6E6E6"/>
    </w:rPr>
  </w:style>
  <w:style w:type="character" w:customStyle="1" w:styleId="FooterChar">
    <w:name w:val="Footer Char"/>
    <w:link w:val="Footer"/>
    <w:uiPriority w:val="99"/>
    <w:rsid w:val="002E3FD5"/>
    <w:rPr>
      <w:sz w:val="24"/>
      <w:szCs w:val="24"/>
    </w:rPr>
  </w:style>
  <w:style w:type="character" w:customStyle="1" w:styleId="UnresolvedMention5">
    <w:name w:val="Unresolved Mention5"/>
    <w:uiPriority w:val="99"/>
    <w:semiHidden/>
    <w:unhideWhenUsed/>
    <w:rsid w:val="004915B9"/>
    <w:rPr>
      <w:color w:val="808080"/>
      <w:shd w:val="clear" w:color="auto" w:fill="E6E6E6"/>
    </w:rPr>
  </w:style>
  <w:style w:type="character" w:customStyle="1" w:styleId="UnresolvedMention6">
    <w:name w:val="Unresolved Mention6"/>
    <w:uiPriority w:val="99"/>
    <w:semiHidden/>
    <w:unhideWhenUsed/>
    <w:rsid w:val="00080CC7"/>
    <w:rPr>
      <w:color w:val="808080"/>
      <w:shd w:val="clear" w:color="auto" w:fill="E6E6E6"/>
    </w:rPr>
  </w:style>
  <w:style w:type="character" w:customStyle="1" w:styleId="Heading4Char">
    <w:name w:val="Heading 4 Char"/>
    <w:link w:val="Heading4"/>
    <w:semiHidden/>
    <w:rsid w:val="00FC1C58"/>
    <w:rPr>
      <w:rFonts w:ascii="Cambria" w:eastAsia="Times New Roman" w:hAnsi="Cambria" w:cs="Times New Roman"/>
      <w:i/>
      <w:iCs/>
      <w:color w:val="365F9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0135">
      <w:bodyDiv w:val="1"/>
      <w:marLeft w:val="0"/>
      <w:marRight w:val="0"/>
      <w:marTop w:val="0"/>
      <w:marBottom w:val="0"/>
      <w:divBdr>
        <w:top w:val="none" w:sz="0" w:space="0" w:color="auto"/>
        <w:left w:val="none" w:sz="0" w:space="0" w:color="auto"/>
        <w:bottom w:val="none" w:sz="0" w:space="0" w:color="auto"/>
        <w:right w:val="none" w:sz="0" w:space="0" w:color="auto"/>
      </w:divBdr>
    </w:div>
    <w:div w:id="29427736">
      <w:bodyDiv w:val="1"/>
      <w:marLeft w:val="0"/>
      <w:marRight w:val="0"/>
      <w:marTop w:val="0"/>
      <w:marBottom w:val="0"/>
      <w:divBdr>
        <w:top w:val="none" w:sz="0" w:space="0" w:color="auto"/>
        <w:left w:val="none" w:sz="0" w:space="0" w:color="auto"/>
        <w:bottom w:val="none" w:sz="0" w:space="0" w:color="auto"/>
        <w:right w:val="none" w:sz="0" w:space="0" w:color="auto"/>
      </w:divBdr>
    </w:div>
    <w:div w:id="51125780">
      <w:bodyDiv w:val="1"/>
      <w:marLeft w:val="0"/>
      <w:marRight w:val="0"/>
      <w:marTop w:val="0"/>
      <w:marBottom w:val="0"/>
      <w:divBdr>
        <w:top w:val="none" w:sz="0" w:space="0" w:color="auto"/>
        <w:left w:val="none" w:sz="0" w:space="0" w:color="auto"/>
        <w:bottom w:val="none" w:sz="0" w:space="0" w:color="auto"/>
        <w:right w:val="none" w:sz="0" w:space="0" w:color="auto"/>
      </w:divBdr>
    </w:div>
    <w:div w:id="62531420">
      <w:bodyDiv w:val="1"/>
      <w:marLeft w:val="0"/>
      <w:marRight w:val="0"/>
      <w:marTop w:val="0"/>
      <w:marBottom w:val="0"/>
      <w:divBdr>
        <w:top w:val="none" w:sz="0" w:space="0" w:color="auto"/>
        <w:left w:val="none" w:sz="0" w:space="0" w:color="auto"/>
        <w:bottom w:val="none" w:sz="0" w:space="0" w:color="auto"/>
        <w:right w:val="none" w:sz="0" w:space="0" w:color="auto"/>
      </w:divBdr>
    </w:div>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90707435">
      <w:bodyDiv w:val="1"/>
      <w:marLeft w:val="0"/>
      <w:marRight w:val="0"/>
      <w:marTop w:val="0"/>
      <w:marBottom w:val="0"/>
      <w:divBdr>
        <w:top w:val="none" w:sz="0" w:space="0" w:color="auto"/>
        <w:left w:val="none" w:sz="0" w:space="0" w:color="auto"/>
        <w:bottom w:val="none" w:sz="0" w:space="0" w:color="auto"/>
        <w:right w:val="none" w:sz="0" w:space="0" w:color="auto"/>
      </w:divBdr>
    </w:div>
    <w:div w:id="97917201">
      <w:bodyDiv w:val="1"/>
      <w:marLeft w:val="0"/>
      <w:marRight w:val="0"/>
      <w:marTop w:val="0"/>
      <w:marBottom w:val="0"/>
      <w:divBdr>
        <w:top w:val="none" w:sz="0" w:space="0" w:color="auto"/>
        <w:left w:val="none" w:sz="0" w:space="0" w:color="auto"/>
        <w:bottom w:val="none" w:sz="0" w:space="0" w:color="auto"/>
        <w:right w:val="none" w:sz="0" w:space="0" w:color="auto"/>
      </w:divBdr>
    </w:div>
    <w:div w:id="157380479">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186219556">
      <w:bodyDiv w:val="1"/>
      <w:marLeft w:val="0"/>
      <w:marRight w:val="0"/>
      <w:marTop w:val="0"/>
      <w:marBottom w:val="0"/>
      <w:divBdr>
        <w:top w:val="none" w:sz="0" w:space="0" w:color="auto"/>
        <w:left w:val="none" w:sz="0" w:space="0" w:color="auto"/>
        <w:bottom w:val="none" w:sz="0" w:space="0" w:color="auto"/>
        <w:right w:val="none" w:sz="0" w:space="0" w:color="auto"/>
      </w:divBdr>
    </w:div>
    <w:div w:id="202986505">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07838377">
      <w:bodyDiv w:val="1"/>
      <w:marLeft w:val="0"/>
      <w:marRight w:val="0"/>
      <w:marTop w:val="0"/>
      <w:marBottom w:val="0"/>
      <w:divBdr>
        <w:top w:val="none" w:sz="0" w:space="0" w:color="auto"/>
        <w:left w:val="none" w:sz="0" w:space="0" w:color="auto"/>
        <w:bottom w:val="none" w:sz="0" w:space="0" w:color="auto"/>
        <w:right w:val="none" w:sz="0" w:space="0" w:color="auto"/>
      </w:divBdr>
    </w:div>
    <w:div w:id="286670423">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08638559">
      <w:bodyDiv w:val="1"/>
      <w:marLeft w:val="0"/>
      <w:marRight w:val="0"/>
      <w:marTop w:val="0"/>
      <w:marBottom w:val="0"/>
      <w:divBdr>
        <w:top w:val="none" w:sz="0" w:space="0" w:color="auto"/>
        <w:left w:val="none" w:sz="0" w:space="0" w:color="auto"/>
        <w:bottom w:val="none" w:sz="0" w:space="0" w:color="auto"/>
        <w:right w:val="none" w:sz="0" w:space="0" w:color="auto"/>
      </w:divBdr>
    </w:div>
    <w:div w:id="373500703">
      <w:bodyDiv w:val="1"/>
      <w:marLeft w:val="0"/>
      <w:marRight w:val="0"/>
      <w:marTop w:val="0"/>
      <w:marBottom w:val="0"/>
      <w:divBdr>
        <w:top w:val="none" w:sz="0" w:space="0" w:color="auto"/>
        <w:left w:val="none" w:sz="0" w:space="0" w:color="auto"/>
        <w:bottom w:val="none" w:sz="0" w:space="0" w:color="auto"/>
        <w:right w:val="none" w:sz="0" w:space="0" w:color="auto"/>
      </w:divBdr>
    </w:div>
    <w:div w:id="382337262">
      <w:bodyDiv w:val="1"/>
      <w:marLeft w:val="0"/>
      <w:marRight w:val="0"/>
      <w:marTop w:val="0"/>
      <w:marBottom w:val="0"/>
      <w:divBdr>
        <w:top w:val="none" w:sz="0" w:space="0" w:color="auto"/>
        <w:left w:val="none" w:sz="0" w:space="0" w:color="auto"/>
        <w:bottom w:val="none" w:sz="0" w:space="0" w:color="auto"/>
        <w:right w:val="none" w:sz="0" w:space="0" w:color="auto"/>
      </w:divBdr>
    </w:div>
    <w:div w:id="427651906">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477574846">
      <w:bodyDiv w:val="1"/>
      <w:marLeft w:val="0"/>
      <w:marRight w:val="0"/>
      <w:marTop w:val="0"/>
      <w:marBottom w:val="0"/>
      <w:divBdr>
        <w:top w:val="none" w:sz="0" w:space="0" w:color="auto"/>
        <w:left w:val="none" w:sz="0" w:space="0" w:color="auto"/>
        <w:bottom w:val="none" w:sz="0" w:space="0" w:color="auto"/>
        <w:right w:val="none" w:sz="0" w:space="0" w:color="auto"/>
      </w:divBdr>
    </w:div>
    <w:div w:id="494808948">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63183054">
      <w:bodyDiv w:val="1"/>
      <w:marLeft w:val="0"/>
      <w:marRight w:val="0"/>
      <w:marTop w:val="0"/>
      <w:marBottom w:val="0"/>
      <w:divBdr>
        <w:top w:val="none" w:sz="0" w:space="0" w:color="auto"/>
        <w:left w:val="none" w:sz="0" w:space="0" w:color="auto"/>
        <w:bottom w:val="none" w:sz="0" w:space="0" w:color="auto"/>
        <w:right w:val="none" w:sz="0" w:space="0" w:color="auto"/>
      </w:divBdr>
    </w:div>
    <w:div w:id="619646102">
      <w:bodyDiv w:val="1"/>
      <w:marLeft w:val="0"/>
      <w:marRight w:val="0"/>
      <w:marTop w:val="0"/>
      <w:marBottom w:val="0"/>
      <w:divBdr>
        <w:top w:val="none" w:sz="0" w:space="0" w:color="auto"/>
        <w:left w:val="none" w:sz="0" w:space="0" w:color="auto"/>
        <w:bottom w:val="none" w:sz="0" w:space="0" w:color="auto"/>
        <w:right w:val="none" w:sz="0" w:space="0" w:color="auto"/>
      </w:divBdr>
    </w:div>
    <w:div w:id="642349136">
      <w:bodyDiv w:val="1"/>
      <w:marLeft w:val="0"/>
      <w:marRight w:val="0"/>
      <w:marTop w:val="0"/>
      <w:marBottom w:val="0"/>
      <w:divBdr>
        <w:top w:val="none" w:sz="0" w:space="0" w:color="auto"/>
        <w:left w:val="none" w:sz="0" w:space="0" w:color="auto"/>
        <w:bottom w:val="none" w:sz="0" w:space="0" w:color="auto"/>
        <w:right w:val="none" w:sz="0" w:space="0" w:color="auto"/>
      </w:divBdr>
    </w:div>
    <w:div w:id="663826393">
      <w:bodyDiv w:val="1"/>
      <w:marLeft w:val="0"/>
      <w:marRight w:val="0"/>
      <w:marTop w:val="0"/>
      <w:marBottom w:val="0"/>
      <w:divBdr>
        <w:top w:val="none" w:sz="0" w:space="0" w:color="auto"/>
        <w:left w:val="none" w:sz="0" w:space="0" w:color="auto"/>
        <w:bottom w:val="none" w:sz="0" w:space="0" w:color="auto"/>
        <w:right w:val="none" w:sz="0" w:space="0" w:color="auto"/>
      </w:divBdr>
      <w:divsChild>
        <w:div w:id="452866850">
          <w:marLeft w:val="547"/>
          <w:marRight w:val="0"/>
          <w:marTop w:val="0"/>
          <w:marBottom w:val="0"/>
          <w:divBdr>
            <w:top w:val="none" w:sz="0" w:space="0" w:color="auto"/>
            <w:left w:val="none" w:sz="0" w:space="0" w:color="auto"/>
            <w:bottom w:val="none" w:sz="0" w:space="0" w:color="auto"/>
            <w:right w:val="none" w:sz="0" w:space="0" w:color="auto"/>
          </w:divBdr>
        </w:div>
      </w:divsChild>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47465202">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69084827">
      <w:bodyDiv w:val="1"/>
      <w:marLeft w:val="0"/>
      <w:marRight w:val="0"/>
      <w:marTop w:val="0"/>
      <w:marBottom w:val="0"/>
      <w:divBdr>
        <w:top w:val="none" w:sz="0" w:space="0" w:color="auto"/>
        <w:left w:val="none" w:sz="0" w:space="0" w:color="auto"/>
        <w:bottom w:val="none" w:sz="0" w:space="0" w:color="auto"/>
        <w:right w:val="none" w:sz="0" w:space="0" w:color="auto"/>
      </w:divBdr>
    </w:div>
    <w:div w:id="883174626">
      <w:bodyDiv w:val="1"/>
      <w:marLeft w:val="0"/>
      <w:marRight w:val="0"/>
      <w:marTop w:val="0"/>
      <w:marBottom w:val="0"/>
      <w:divBdr>
        <w:top w:val="none" w:sz="0" w:space="0" w:color="auto"/>
        <w:left w:val="none" w:sz="0" w:space="0" w:color="auto"/>
        <w:bottom w:val="none" w:sz="0" w:space="0" w:color="auto"/>
        <w:right w:val="none" w:sz="0" w:space="0" w:color="auto"/>
      </w:divBdr>
    </w:div>
    <w:div w:id="899561381">
      <w:bodyDiv w:val="1"/>
      <w:marLeft w:val="0"/>
      <w:marRight w:val="0"/>
      <w:marTop w:val="0"/>
      <w:marBottom w:val="0"/>
      <w:divBdr>
        <w:top w:val="none" w:sz="0" w:space="0" w:color="auto"/>
        <w:left w:val="none" w:sz="0" w:space="0" w:color="auto"/>
        <w:bottom w:val="none" w:sz="0" w:space="0" w:color="auto"/>
        <w:right w:val="none" w:sz="0" w:space="0" w:color="auto"/>
      </w:divBdr>
    </w:div>
    <w:div w:id="905990155">
      <w:bodyDiv w:val="1"/>
      <w:marLeft w:val="0"/>
      <w:marRight w:val="0"/>
      <w:marTop w:val="0"/>
      <w:marBottom w:val="0"/>
      <w:divBdr>
        <w:top w:val="none" w:sz="0" w:space="0" w:color="auto"/>
        <w:left w:val="none" w:sz="0" w:space="0" w:color="auto"/>
        <w:bottom w:val="none" w:sz="0" w:space="0" w:color="auto"/>
        <w:right w:val="none" w:sz="0" w:space="0" w:color="auto"/>
      </w:divBdr>
    </w:div>
    <w:div w:id="1051269713">
      <w:bodyDiv w:val="1"/>
      <w:marLeft w:val="0"/>
      <w:marRight w:val="0"/>
      <w:marTop w:val="0"/>
      <w:marBottom w:val="0"/>
      <w:divBdr>
        <w:top w:val="none" w:sz="0" w:space="0" w:color="auto"/>
        <w:left w:val="none" w:sz="0" w:space="0" w:color="auto"/>
        <w:bottom w:val="none" w:sz="0" w:space="0" w:color="auto"/>
        <w:right w:val="none" w:sz="0" w:space="0" w:color="auto"/>
      </w:divBdr>
    </w:div>
    <w:div w:id="1211576647">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39749465">
      <w:bodyDiv w:val="1"/>
      <w:marLeft w:val="0"/>
      <w:marRight w:val="0"/>
      <w:marTop w:val="0"/>
      <w:marBottom w:val="0"/>
      <w:divBdr>
        <w:top w:val="none" w:sz="0" w:space="0" w:color="auto"/>
        <w:left w:val="none" w:sz="0" w:space="0" w:color="auto"/>
        <w:bottom w:val="none" w:sz="0" w:space="0" w:color="auto"/>
        <w:right w:val="none" w:sz="0" w:space="0" w:color="auto"/>
      </w:divBdr>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255548556">
      <w:bodyDiv w:val="1"/>
      <w:marLeft w:val="0"/>
      <w:marRight w:val="0"/>
      <w:marTop w:val="0"/>
      <w:marBottom w:val="0"/>
      <w:divBdr>
        <w:top w:val="none" w:sz="0" w:space="0" w:color="auto"/>
        <w:left w:val="none" w:sz="0" w:space="0" w:color="auto"/>
        <w:bottom w:val="none" w:sz="0" w:space="0" w:color="auto"/>
        <w:right w:val="none" w:sz="0" w:space="0" w:color="auto"/>
      </w:divBdr>
    </w:div>
    <w:div w:id="1363631282">
      <w:bodyDiv w:val="1"/>
      <w:marLeft w:val="0"/>
      <w:marRight w:val="0"/>
      <w:marTop w:val="0"/>
      <w:marBottom w:val="0"/>
      <w:divBdr>
        <w:top w:val="none" w:sz="0" w:space="0" w:color="auto"/>
        <w:left w:val="none" w:sz="0" w:space="0" w:color="auto"/>
        <w:bottom w:val="none" w:sz="0" w:space="0" w:color="auto"/>
        <w:right w:val="none" w:sz="0" w:space="0" w:color="auto"/>
      </w:divBdr>
    </w:div>
    <w:div w:id="1365448344">
      <w:bodyDiv w:val="1"/>
      <w:marLeft w:val="0"/>
      <w:marRight w:val="0"/>
      <w:marTop w:val="0"/>
      <w:marBottom w:val="0"/>
      <w:divBdr>
        <w:top w:val="none" w:sz="0" w:space="0" w:color="auto"/>
        <w:left w:val="none" w:sz="0" w:space="0" w:color="auto"/>
        <w:bottom w:val="none" w:sz="0" w:space="0" w:color="auto"/>
        <w:right w:val="none" w:sz="0" w:space="0" w:color="auto"/>
      </w:divBdr>
      <w:divsChild>
        <w:div w:id="850416181">
          <w:marLeft w:val="446"/>
          <w:marRight w:val="0"/>
          <w:marTop w:val="173"/>
          <w:marBottom w:val="0"/>
          <w:divBdr>
            <w:top w:val="none" w:sz="0" w:space="0" w:color="auto"/>
            <w:left w:val="none" w:sz="0" w:space="0" w:color="auto"/>
            <w:bottom w:val="none" w:sz="0" w:space="0" w:color="auto"/>
            <w:right w:val="none" w:sz="0" w:space="0" w:color="auto"/>
          </w:divBdr>
        </w:div>
        <w:div w:id="891310965">
          <w:marLeft w:val="446"/>
          <w:marRight w:val="0"/>
          <w:marTop w:val="173"/>
          <w:marBottom w:val="0"/>
          <w:divBdr>
            <w:top w:val="none" w:sz="0" w:space="0" w:color="auto"/>
            <w:left w:val="none" w:sz="0" w:space="0" w:color="auto"/>
            <w:bottom w:val="none" w:sz="0" w:space="0" w:color="auto"/>
            <w:right w:val="none" w:sz="0" w:space="0" w:color="auto"/>
          </w:divBdr>
        </w:div>
        <w:div w:id="2101757865">
          <w:marLeft w:val="446"/>
          <w:marRight w:val="0"/>
          <w:marTop w:val="173"/>
          <w:marBottom w:val="0"/>
          <w:divBdr>
            <w:top w:val="none" w:sz="0" w:space="0" w:color="auto"/>
            <w:left w:val="none" w:sz="0" w:space="0" w:color="auto"/>
            <w:bottom w:val="none" w:sz="0" w:space="0" w:color="auto"/>
            <w:right w:val="none" w:sz="0" w:space="0" w:color="auto"/>
          </w:divBdr>
        </w:div>
      </w:divsChild>
    </w:div>
    <w:div w:id="1446119821">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62185021">
      <w:bodyDiv w:val="1"/>
      <w:marLeft w:val="0"/>
      <w:marRight w:val="0"/>
      <w:marTop w:val="0"/>
      <w:marBottom w:val="0"/>
      <w:divBdr>
        <w:top w:val="none" w:sz="0" w:space="0" w:color="auto"/>
        <w:left w:val="none" w:sz="0" w:space="0" w:color="auto"/>
        <w:bottom w:val="none" w:sz="0" w:space="0" w:color="auto"/>
        <w:right w:val="none" w:sz="0" w:space="0" w:color="auto"/>
      </w:divBdr>
      <w:divsChild>
        <w:div w:id="436947819">
          <w:marLeft w:val="547"/>
          <w:marRight w:val="0"/>
          <w:marTop w:val="0"/>
          <w:marBottom w:val="0"/>
          <w:divBdr>
            <w:top w:val="none" w:sz="0" w:space="0" w:color="auto"/>
            <w:left w:val="none" w:sz="0" w:space="0" w:color="auto"/>
            <w:bottom w:val="none" w:sz="0" w:space="0" w:color="auto"/>
            <w:right w:val="none" w:sz="0" w:space="0" w:color="auto"/>
          </w:divBdr>
        </w:div>
      </w:divsChild>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1266405">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02507492">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54681946">
      <w:bodyDiv w:val="1"/>
      <w:marLeft w:val="0"/>
      <w:marRight w:val="0"/>
      <w:marTop w:val="0"/>
      <w:marBottom w:val="0"/>
      <w:divBdr>
        <w:top w:val="none" w:sz="0" w:space="0" w:color="auto"/>
        <w:left w:val="none" w:sz="0" w:space="0" w:color="auto"/>
        <w:bottom w:val="none" w:sz="0" w:space="0" w:color="auto"/>
        <w:right w:val="none" w:sz="0" w:space="0" w:color="auto"/>
      </w:divBdr>
      <w:divsChild>
        <w:div w:id="1443302427">
          <w:marLeft w:val="446"/>
          <w:marRight w:val="0"/>
          <w:marTop w:val="0"/>
          <w:marBottom w:val="0"/>
          <w:divBdr>
            <w:top w:val="none" w:sz="0" w:space="0" w:color="auto"/>
            <w:left w:val="none" w:sz="0" w:space="0" w:color="auto"/>
            <w:bottom w:val="none" w:sz="0" w:space="0" w:color="auto"/>
            <w:right w:val="none" w:sz="0" w:space="0" w:color="auto"/>
          </w:divBdr>
        </w:div>
      </w:divsChild>
    </w:div>
    <w:div w:id="1658610361">
      <w:bodyDiv w:val="1"/>
      <w:marLeft w:val="0"/>
      <w:marRight w:val="0"/>
      <w:marTop w:val="0"/>
      <w:marBottom w:val="0"/>
      <w:divBdr>
        <w:top w:val="none" w:sz="0" w:space="0" w:color="auto"/>
        <w:left w:val="none" w:sz="0" w:space="0" w:color="auto"/>
        <w:bottom w:val="none" w:sz="0" w:space="0" w:color="auto"/>
        <w:right w:val="none" w:sz="0" w:space="0" w:color="auto"/>
      </w:divBdr>
    </w:div>
    <w:div w:id="1737513426">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74086597">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799835968">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1963262219">
      <w:bodyDiv w:val="1"/>
      <w:marLeft w:val="0"/>
      <w:marRight w:val="0"/>
      <w:marTop w:val="0"/>
      <w:marBottom w:val="0"/>
      <w:divBdr>
        <w:top w:val="none" w:sz="0" w:space="0" w:color="auto"/>
        <w:left w:val="none" w:sz="0" w:space="0" w:color="auto"/>
        <w:bottom w:val="none" w:sz="0" w:space="0" w:color="auto"/>
        <w:right w:val="none" w:sz="0" w:space="0" w:color="auto"/>
      </w:divBdr>
    </w:div>
    <w:div w:id="1977224393">
      <w:bodyDiv w:val="1"/>
      <w:marLeft w:val="0"/>
      <w:marRight w:val="0"/>
      <w:marTop w:val="0"/>
      <w:marBottom w:val="0"/>
      <w:divBdr>
        <w:top w:val="none" w:sz="0" w:space="0" w:color="auto"/>
        <w:left w:val="none" w:sz="0" w:space="0" w:color="auto"/>
        <w:bottom w:val="none" w:sz="0" w:space="0" w:color="auto"/>
        <w:right w:val="none" w:sz="0" w:space="0" w:color="auto"/>
      </w:divBdr>
    </w:div>
    <w:div w:id="1984652597">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80011593">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6094839">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1.png"/><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image" Target="media/image4.gif"/><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image" Target="media/image6.png"/><Relationship Id="rId33" Type="http://schemas.openxmlformats.org/officeDocument/2006/relationships/oleObject" Target="embeddings/oleObject4.bin"/><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3.png"/><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visual-3d.com/tools/photometricViewer/default.aspx?id=18586" TargetMode="External"/><Relationship Id="rId32" Type="http://schemas.openxmlformats.org/officeDocument/2006/relationships/image" Target="media/image10.wmf"/><Relationship Id="rId37"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5.png"/><Relationship Id="rId28" Type="http://schemas.openxmlformats.org/officeDocument/2006/relationships/image" Target="media/image8.wmf"/><Relationship Id="rId36"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image" Target="media/image2.png"/><Relationship Id="rId31" Type="http://schemas.openxmlformats.org/officeDocument/2006/relationships/oleObject" Target="embeddings/oleObject3.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chart" Target="charts/chart1.xml"/><Relationship Id="rId27" Type="http://schemas.openxmlformats.org/officeDocument/2006/relationships/oleObject" Target="embeddings/oleObject1.bin"/><Relationship Id="rId30" Type="http://schemas.openxmlformats.org/officeDocument/2006/relationships/image" Target="media/image9.wmf"/><Relationship Id="rId35"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hyperlink" Target="http://www.energy.ca.gov/2017publications/CEC-400-2017-002/CEC-400-2017-002.pdf" TargetMode="External"/><Relationship Id="rId13" Type="http://schemas.openxmlformats.org/officeDocument/2006/relationships/hyperlink" Target="https://www.bpa.gov/EE/Utility/research-archive/Documents/Momentum-Savings-Resources/2017_NonResidential_Lighting_Final_Report.pdf" TargetMode="External"/><Relationship Id="rId3" Type="http://schemas.openxmlformats.org/officeDocument/2006/relationships/hyperlink" Target="https://www.designlights.org/default/assets/File/Workplan/DLC_Technical-Requirements-Table-V4-4.pdf" TargetMode="External"/><Relationship Id="rId7" Type="http://schemas.openxmlformats.org/officeDocument/2006/relationships/hyperlink" Target="http://www.deeresources.com/" TargetMode="External"/><Relationship Id="rId12" Type="http://schemas.openxmlformats.org/officeDocument/2006/relationships/hyperlink" Target="https://www.nema.org/Intelligence/Indices/Pages/Linear-Fluorescent-Lamp-Indexes-Continue-to-Decline-in-Second-Quarter-2017-while-T-LED-Market-Penetration-Increases.aspx" TargetMode="External"/><Relationship Id="rId2" Type="http://schemas.openxmlformats.org/officeDocument/2006/relationships/hyperlink" Target="http://calmac.org/publications/LED_Pricing_Analysis_Report_-_Revised_1.19.2018_FinalES.pdf" TargetMode="External"/><Relationship Id="rId16" Type="http://schemas.openxmlformats.org/officeDocument/2006/relationships/hyperlink" Target="https://www.energy.gov/eere/ssl/caliper-report-archives" TargetMode="External"/><Relationship Id="rId1" Type="http://schemas.openxmlformats.org/officeDocument/2006/relationships/hyperlink" Target="https://www.nema.org/Intelligence/Indices/Pages/Linear-Fluorescent-Lamp-Indexes-Continue-to-Decline-in-Second-Quarter-2017-while-T-LED-Market-Penetration-Increases.aspx" TargetMode="External"/><Relationship Id="rId6" Type="http://schemas.openxmlformats.org/officeDocument/2006/relationships/hyperlink" Target="https://www.energy.gov/sites/prod/files/2017/04/f34/snapshot2017_industrial.pdf" TargetMode="External"/><Relationship Id="rId11" Type="http://schemas.openxmlformats.org/officeDocument/2006/relationships/hyperlink" Target="http://www.calmac.org/publications/LED_Study_Report_FINAL_201510029.pdf" TargetMode="External"/><Relationship Id="rId5" Type="http://schemas.openxmlformats.org/officeDocument/2006/relationships/hyperlink" Target="https://www.designlights.org/solid-state-lighting/qualification-requirements/past-technical-requirements/version-4-1-released-november-1-2016/" TargetMode="External"/><Relationship Id="rId15" Type="http://schemas.openxmlformats.org/officeDocument/2006/relationships/hyperlink" Target="https://www.energy.gov/sites/prod/files/2016/07/f33/snapshot2016_tleds.pdf" TargetMode="External"/><Relationship Id="rId10" Type="http://schemas.openxmlformats.org/officeDocument/2006/relationships/hyperlink" Target="http://www.calmac.org/publications/LED_Pricing_Analysis_Report_-_Revised_1.19.2018_Final.pdf" TargetMode="External"/><Relationship Id="rId4" Type="http://schemas.openxmlformats.org/officeDocument/2006/relationships/hyperlink" Target="https://www.designlights.org/default/assets/File/Workplan/DLC_Technica-Requirements-Table-V4-4.pdf" TargetMode="External"/><Relationship Id="rId9" Type="http://schemas.openxmlformats.org/officeDocument/2006/relationships/hyperlink" Target="http://www.energy.ca.gov/2015publications/CEC-400-2015-037/CEC-400-2015-037-CMF.pdf" TargetMode="External"/><Relationship Id="rId14" Type="http://schemas.openxmlformats.org/officeDocument/2006/relationships/hyperlink" Target="https://www.bpa.gov/EE/Utility/research-archive/Documents/Momentum-Savings-Resources/2017_NonResidential_Lighting_Final_Repor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Box%20Sync\WP%20File%20Transfer\High%20Bay\HB%20Fall%202018\HighLowBay_Savings_20181106.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Figure 2: Impact of TLEDs on Incremental Measure Cost</a:t>
            </a:r>
          </a:p>
        </c:rich>
      </c:tx>
      <c:overlay val="0"/>
      <c:spPr>
        <a:noFill/>
        <a:ln>
          <a:noFill/>
        </a:ln>
        <a:effectLst/>
      </c:spPr>
    </c:title>
    <c:autoTitleDeleted val="0"/>
    <c:plotArea>
      <c:layout>
        <c:manualLayout>
          <c:layoutTarget val="inner"/>
          <c:xMode val="edge"/>
          <c:yMode val="edge"/>
          <c:x val="7.5433615397147186E-2"/>
          <c:y val="0.18342863014181371"/>
          <c:w val="0.90243805545188338"/>
          <c:h val="0.66649095218801802"/>
        </c:manualLayout>
      </c:layout>
      <c:barChart>
        <c:barDir val="col"/>
        <c:grouping val="clustered"/>
        <c:varyColors val="0"/>
        <c:ser>
          <c:idx val="1"/>
          <c:order val="0"/>
          <c:tx>
            <c:v>60% TLED, 20% LED Fixtures, 20% Fl. Fixtures</c:v>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'NR+AR'!$AA$36:$AF$36</c:f>
              <c:strCache>
                <c:ptCount val="6"/>
                <c:pt idx="0">
                  <c:v>LED Fixture Base Cost</c:v>
                </c:pt>
                <c:pt idx="1">
                  <c:v>Fluorescent Fixture Base Cost (20%)</c:v>
                </c:pt>
                <c:pt idx="2">
                  <c:v>TLED Base Cost </c:v>
                </c:pt>
                <c:pt idx="3">
                  <c:v>LED Fixture Measure Cost</c:v>
                </c:pt>
                <c:pt idx="4">
                  <c:v>Blended Base Cost</c:v>
                </c:pt>
                <c:pt idx="5">
                  <c:v>Incremental Measure Cost</c:v>
                </c:pt>
              </c:strCache>
            </c:strRef>
          </c:cat>
          <c:val>
            <c:numRef>
              <c:f>'NR+AR'!$AA$40:$AF$40</c:f>
              <c:numCache>
                <c:formatCode>General</c:formatCode>
                <c:ptCount val="6"/>
                <c:pt idx="4" formatCode="&quot;$&quot;#,##0">
                  <c:v>163</c:v>
                </c:pt>
                <c:pt idx="5" formatCode="&quot;$&quot;#,##0">
                  <c:v>17</c:v>
                </c:pt>
              </c:numCache>
            </c:numRef>
          </c:val>
          <c:extLst xmlns:c16r2="http://schemas.microsoft.com/office/drawing/2015/06/chart">
            <c:ext xmlns:c16="http://schemas.microsoft.com/office/drawing/2014/chart" uri="{C3380CC4-5D6E-409C-BE32-E72D297353CC}">
              <c16:uniqueId val="{00000000-60FB-4DF5-A74D-103A47F58A24}"/>
            </c:ext>
          </c:extLst>
        </c:ser>
        <c:ser>
          <c:idx val="0"/>
          <c:order val="1"/>
          <c:tx>
            <c:v>80% LED Fixtures, 20% Fl. Fixtures</c:v>
          </c:tx>
          <c:spPr>
            <a:solidFill>
              <a:schemeClr val="accent4"/>
            </a:solidFill>
            <a:ln>
              <a:noFill/>
            </a:ln>
            <a:effectLst/>
          </c:spPr>
          <c:invertIfNegative val="0"/>
          <c:dPt>
            <c:idx val="0"/>
            <c:invertIfNegative val="0"/>
            <c:bubble3D val="0"/>
            <c:spPr>
              <a:solidFill>
                <a:schemeClr val="accent1"/>
              </a:solidFill>
              <a:ln>
                <a:noFill/>
              </a:ln>
              <a:effectLst/>
            </c:spPr>
            <c:extLst xmlns:c16r2="http://schemas.microsoft.com/office/drawing/2015/06/chart">
              <c:ext xmlns:c16="http://schemas.microsoft.com/office/drawing/2014/chart" uri="{C3380CC4-5D6E-409C-BE32-E72D297353CC}">
                <c16:uniqueId val="{00000002-60FB-4DF5-A74D-103A47F58A24}"/>
              </c:ext>
            </c:extLst>
          </c:dPt>
          <c:dPt>
            <c:idx val="1"/>
            <c:invertIfNegative val="0"/>
            <c:bubble3D val="0"/>
            <c:spPr>
              <a:solidFill>
                <a:schemeClr val="accent1"/>
              </a:solidFill>
              <a:ln>
                <a:noFill/>
              </a:ln>
              <a:effectLst/>
            </c:spPr>
            <c:extLst xmlns:c16r2="http://schemas.microsoft.com/office/drawing/2015/06/chart">
              <c:ext xmlns:c16="http://schemas.microsoft.com/office/drawing/2014/chart" uri="{C3380CC4-5D6E-409C-BE32-E72D297353CC}">
                <c16:uniqueId val="{00000004-60FB-4DF5-A74D-103A47F58A24}"/>
              </c:ext>
            </c:extLst>
          </c:dPt>
          <c:dPt>
            <c:idx val="2"/>
            <c:invertIfNegative val="0"/>
            <c:bubble3D val="0"/>
            <c:spPr>
              <a:solidFill>
                <a:schemeClr val="accent1"/>
              </a:solidFill>
              <a:ln>
                <a:noFill/>
              </a:ln>
              <a:effectLst/>
            </c:spPr>
            <c:extLst xmlns:c16r2="http://schemas.microsoft.com/office/drawing/2015/06/chart">
              <c:ext xmlns:c16="http://schemas.microsoft.com/office/drawing/2014/chart" uri="{C3380CC4-5D6E-409C-BE32-E72D297353CC}">
                <c16:uniqueId val="{00000006-60FB-4DF5-A74D-103A47F58A24}"/>
              </c:ext>
            </c:extLst>
          </c:dPt>
          <c:dPt>
            <c:idx val="3"/>
            <c:invertIfNegative val="0"/>
            <c:bubble3D val="0"/>
            <c:spPr>
              <a:solidFill>
                <a:schemeClr val="accent2"/>
              </a:solidFill>
              <a:ln>
                <a:noFill/>
              </a:ln>
              <a:effectLst/>
            </c:spPr>
            <c:extLst xmlns:c16r2="http://schemas.microsoft.com/office/drawing/2015/06/chart">
              <c:ext xmlns:c16="http://schemas.microsoft.com/office/drawing/2014/chart" uri="{C3380CC4-5D6E-409C-BE32-E72D297353CC}">
                <c16:uniqueId val="{00000008-60FB-4DF5-A74D-103A47F58A24}"/>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'NR+AR'!$AA$36:$AF$36</c:f>
              <c:strCache>
                <c:ptCount val="6"/>
                <c:pt idx="0">
                  <c:v>LED Fixture Base Cost</c:v>
                </c:pt>
                <c:pt idx="1">
                  <c:v>Fluorescent Fixture Base Cost (20%)</c:v>
                </c:pt>
                <c:pt idx="2">
                  <c:v>TLED Base Cost </c:v>
                </c:pt>
                <c:pt idx="3">
                  <c:v>LED Fixture Measure Cost</c:v>
                </c:pt>
                <c:pt idx="4">
                  <c:v>Blended Base Cost</c:v>
                </c:pt>
                <c:pt idx="5">
                  <c:v>Incremental Measure Cost</c:v>
                </c:pt>
              </c:strCache>
            </c:strRef>
          </c:cat>
          <c:val>
            <c:numRef>
              <c:f>'NR+AR'!$AA$39:$AF$39</c:f>
              <c:numCache>
                <c:formatCode>"$"#,##0</c:formatCode>
                <c:ptCount val="6"/>
                <c:pt idx="0">
                  <c:v>251</c:v>
                </c:pt>
                <c:pt idx="1">
                  <c:v>30.509999999999998</c:v>
                </c:pt>
                <c:pt idx="2">
                  <c:v>30.103805511611156</c:v>
                </c:pt>
                <c:pt idx="3">
                  <c:v>180</c:v>
                </c:pt>
                <c:pt idx="4">
                  <c:v>207</c:v>
                </c:pt>
                <c:pt idx="5">
                  <c:v>-27</c:v>
                </c:pt>
              </c:numCache>
            </c:numRef>
          </c:val>
          <c:extLst xmlns:c16r2="http://schemas.microsoft.com/office/drawing/2015/06/chart">
            <c:ext xmlns:c16="http://schemas.microsoft.com/office/drawing/2014/chart" uri="{C3380CC4-5D6E-409C-BE32-E72D297353CC}">
              <c16:uniqueId val="{00000009-60FB-4DF5-A74D-103A47F58A24}"/>
            </c:ext>
          </c:extLst>
        </c:ser>
        <c:ser>
          <c:idx val="2"/>
          <c:order val="2"/>
          <c:tx>
            <c:v>100% LED Fixtures</c:v>
          </c:tx>
          <c:spPr>
            <a:solidFill>
              <a:schemeClr val="accent6"/>
            </a:solidFill>
            <a:ln>
              <a:noFill/>
            </a:ln>
            <a:effectLst/>
          </c:spPr>
          <c:invertIfNegative val="0"/>
          <c:dLbls>
            <c:dLbl>
              <c:idx val="4"/>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60FB-4DF5-A74D-103A47F58A2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'NR+AR'!$AA$41:$AF$41</c:f>
              <c:numCache>
                <c:formatCode>General</c:formatCode>
                <c:ptCount val="6"/>
                <c:pt idx="4" formatCode="&quot;$&quot;#,##0">
                  <c:v>251</c:v>
                </c:pt>
                <c:pt idx="5" formatCode="&quot;$&quot;#,##0">
                  <c:v>-71</c:v>
                </c:pt>
              </c:numCache>
            </c:numRef>
          </c:val>
          <c:extLst xmlns:c16r2="http://schemas.microsoft.com/office/drawing/2015/06/chart">
            <c:ext xmlns:c16="http://schemas.microsoft.com/office/drawing/2014/chart" uri="{C3380CC4-5D6E-409C-BE32-E72D297353CC}">
              <c16:uniqueId val="{0000000B-60FB-4DF5-A74D-103A47F58A24}"/>
            </c:ext>
          </c:extLst>
        </c:ser>
        <c:dLbls>
          <c:showLegendKey val="0"/>
          <c:showVal val="0"/>
          <c:showCatName val="0"/>
          <c:showSerName val="0"/>
          <c:showPercent val="0"/>
          <c:showBubbleSize val="0"/>
        </c:dLbls>
        <c:gapWidth val="219"/>
        <c:overlap val="-27"/>
        <c:axId val="189930496"/>
        <c:axId val="189936384"/>
      </c:barChart>
      <c:catAx>
        <c:axId val="189930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9936384"/>
        <c:crosses val="autoZero"/>
        <c:auto val="1"/>
        <c:lblAlgn val="ctr"/>
        <c:lblOffset val="100"/>
        <c:noMultiLvlLbl val="0"/>
      </c:catAx>
      <c:valAx>
        <c:axId val="189936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9930496"/>
        <c:crosses val="autoZero"/>
        <c:crossBetween val="between"/>
      </c:valAx>
      <c:spPr>
        <a:noFill/>
        <a:ln>
          <a:noFill/>
        </a:ln>
        <a:effectLst/>
      </c:spPr>
    </c:plotArea>
    <c:legend>
      <c:legendPos val="b"/>
      <c:layout>
        <c:manualLayout>
          <c:xMode val="edge"/>
          <c:yMode val="edge"/>
          <c:x val="0.53408784604943693"/>
          <c:y val="0.84155085206683045"/>
          <c:w val="0.46591215395056318"/>
          <c:h val="0.1584491479331695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PGE</b:Tag>
    <b:SourceType>Report</b:SourceType>
    <b:Guid>{6DDA8AA3-2F04-4461-946D-0B50BCDF1326}</b:Guid>
    <b:Title>PGECOLTG164 R1 LEDGlobe.doc</b:Title>
    <b:RefOrder>1</b:RefOrder>
  </b:Source>
</b:Sources>
</file>

<file path=customXml/itemProps1.xml><?xml version="1.0" encoding="utf-8"?>
<ds:datastoreItem xmlns:ds="http://schemas.openxmlformats.org/officeDocument/2006/customXml" ds:itemID="{25B64F69-47EF-47CC-BFD3-4B89BC8E22D2}">
  <ds:schemaRefs>
    <ds:schemaRef ds:uri="http://schemas.microsoft.com/sharepoint/v3/contenttype/forms"/>
  </ds:schemaRefs>
</ds:datastoreItem>
</file>

<file path=customXml/itemProps2.xml><?xml version="1.0" encoding="utf-8"?>
<ds:datastoreItem xmlns:ds="http://schemas.openxmlformats.org/officeDocument/2006/customXml" ds:itemID="{A770FC9B-0CD7-42DC-B224-9C39B5F4815C}">
  <ds:schemaRefs>
    <ds:schemaRef ds:uri="http://schemas.microsoft.com/office/2006/metadata/properties"/>
  </ds:schemaRefs>
</ds:datastoreItem>
</file>

<file path=customXml/itemProps3.xml><?xml version="1.0" encoding="utf-8"?>
<ds:datastoreItem xmlns:ds="http://schemas.openxmlformats.org/officeDocument/2006/customXml" ds:itemID="{81A55A4D-CF3A-425E-A3F1-D3FD62C90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943D263-E8BD-4F47-BD82-10838DDD2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13</TotalTime>
  <Pages>1</Pages>
  <Words>13048</Words>
  <Characters>74378</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PGECOLTG178</vt:lpstr>
    </vt:vector>
  </TitlesOfParts>
  <Company>PG&amp;E</Company>
  <LinksUpToDate>false</LinksUpToDate>
  <CharactersWithSpaces>87252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PGECOLTG178</dc:title>
  <dc:creator>Greg Barker</dc:creator>
  <cp:lastModifiedBy>Kwok, Randy</cp:lastModifiedBy>
  <cp:revision>5</cp:revision>
  <cp:lastPrinted>2018-12-20T23:14:00Z</cp:lastPrinted>
  <dcterms:created xsi:type="dcterms:W3CDTF">2019-03-07T06:35:00Z</dcterms:created>
  <dcterms:modified xsi:type="dcterms:W3CDTF">2019-03-07T06:48:00Z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